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BD029" w14:textId="77777777" w:rsidR="00517F7D" w:rsidRDefault="00517F7D" w:rsidP="00C74B55">
      <w:pPr>
        <w:spacing w:after="0"/>
        <w:jc w:val="center"/>
        <w:rPr>
          <w:rFonts w:ascii="Arial" w:hAnsi="Arial" w:cs="Arial"/>
          <w:b/>
          <w:color w:val="17365D" w:themeColor="text2" w:themeShade="BF"/>
          <w:sz w:val="28"/>
        </w:rPr>
      </w:pPr>
    </w:p>
    <w:p w14:paraId="408D86A4" w14:textId="77777777" w:rsidR="00517F7D" w:rsidRDefault="00517F7D" w:rsidP="00C74B55">
      <w:pPr>
        <w:spacing w:after="0"/>
        <w:jc w:val="center"/>
        <w:rPr>
          <w:rFonts w:ascii="Arial" w:hAnsi="Arial" w:cs="Arial"/>
          <w:b/>
          <w:color w:val="17365D" w:themeColor="text2" w:themeShade="BF"/>
          <w:sz w:val="28"/>
        </w:rPr>
      </w:pPr>
    </w:p>
    <w:p w14:paraId="107321F0" w14:textId="77777777" w:rsidR="00E70944" w:rsidRDefault="00E70944" w:rsidP="00C738F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APPROFONDIMENTO</w:t>
      </w:r>
      <w:r w:rsidR="00D168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al </w:t>
      </w:r>
      <w:proofErr w:type="spellStart"/>
      <w:r w:rsidR="00D168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="00F8260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.lgs</w:t>
      </w:r>
      <w:proofErr w:type="spellEnd"/>
      <w:r w:rsidR="00F8260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48/2020</w:t>
      </w:r>
    </w:p>
    <w:p w14:paraId="2BE9BE4B" w14:textId="77777777" w:rsidR="00E358C9" w:rsidRDefault="00E358C9" w:rsidP="00C738F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1360F60" w14:textId="77777777" w:rsidR="00C723DC" w:rsidRPr="00E358C9" w:rsidRDefault="00C723DC" w:rsidP="00C723DC">
      <w:pPr>
        <w:pStyle w:val="Titolo1"/>
        <w:spacing w:after="0"/>
        <w:rPr>
          <w:rFonts w:ascii="Arial" w:hAnsi="Arial"/>
          <w:color w:val="auto"/>
          <w:sz w:val="24"/>
          <w:szCs w:val="24"/>
        </w:rPr>
      </w:pPr>
      <w:bookmarkStart w:id="0" w:name="_Toc33194689"/>
      <w:r w:rsidRPr="00E358C9">
        <w:rPr>
          <w:rFonts w:ascii="Arial" w:hAnsi="Arial"/>
          <w:color w:val="auto"/>
          <w:sz w:val="24"/>
          <w:szCs w:val="24"/>
        </w:rPr>
        <w:t>Strategia di ristrutturazione a lungo termine</w:t>
      </w:r>
      <w:bookmarkEnd w:id="0"/>
      <w:r w:rsidRPr="00E358C9">
        <w:rPr>
          <w:rFonts w:ascii="Arial" w:hAnsi="Arial"/>
          <w:color w:val="auto"/>
          <w:sz w:val="24"/>
          <w:szCs w:val="24"/>
        </w:rPr>
        <w:t xml:space="preserve"> </w:t>
      </w:r>
    </w:p>
    <w:p w14:paraId="51F89E54" w14:textId="77777777" w:rsidR="00C723DC" w:rsidRPr="00D44F24" w:rsidRDefault="00C723DC" w:rsidP="00C723DC">
      <w:pPr>
        <w:pStyle w:val="Stiletestocorrente"/>
        <w:spacing w:after="240"/>
        <w:ind w:left="0"/>
        <w:rPr>
          <w:rFonts w:cs="Arial"/>
          <w:i/>
          <w:szCs w:val="20"/>
          <w:lang w:eastAsia="it-IT"/>
        </w:rPr>
      </w:pPr>
      <w:r w:rsidRPr="00D44F24">
        <w:rPr>
          <w:rFonts w:cs="Arial"/>
          <w:i/>
          <w:szCs w:val="20"/>
          <w:lang w:eastAsia="it-IT"/>
        </w:rPr>
        <w:t xml:space="preserve">Art.5 </w:t>
      </w:r>
      <w:r w:rsidR="00823122">
        <w:rPr>
          <w:rFonts w:cs="Arial"/>
          <w:i/>
          <w:szCs w:val="20"/>
          <w:lang w:eastAsia="it-IT"/>
        </w:rPr>
        <w:t xml:space="preserve">del </w:t>
      </w:r>
      <w:proofErr w:type="spellStart"/>
      <w:r w:rsidR="00823122">
        <w:rPr>
          <w:rFonts w:cs="Arial"/>
          <w:i/>
          <w:szCs w:val="20"/>
          <w:lang w:eastAsia="it-IT"/>
        </w:rPr>
        <w:t>d.lgs</w:t>
      </w:r>
      <w:proofErr w:type="spellEnd"/>
      <w:r w:rsidR="00823122">
        <w:rPr>
          <w:rFonts w:cs="Arial"/>
          <w:i/>
          <w:szCs w:val="20"/>
          <w:lang w:eastAsia="it-IT"/>
        </w:rPr>
        <w:t xml:space="preserve"> 48/2020 </w:t>
      </w:r>
      <w:r w:rsidRPr="00D44F24">
        <w:rPr>
          <w:rFonts w:cs="Arial"/>
          <w:i/>
          <w:szCs w:val="20"/>
          <w:lang w:eastAsia="it-IT"/>
        </w:rPr>
        <w:t xml:space="preserve">che inserisce </w:t>
      </w:r>
      <w:r w:rsidR="00D44F24">
        <w:rPr>
          <w:rFonts w:cs="Arial"/>
          <w:i/>
          <w:szCs w:val="20"/>
          <w:lang w:eastAsia="it-IT"/>
        </w:rPr>
        <w:t>l’articolo 3-bis al d.</w:t>
      </w:r>
      <w:r w:rsidRPr="00D44F24">
        <w:rPr>
          <w:rFonts w:cs="Arial"/>
          <w:i/>
          <w:szCs w:val="20"/>
          <w:lang w:eastAsia="it-IT"/>
        </w:rPr>
        <w:t>lgs. 192/2005</w:t>
      </w:r>
    </w:p>
    <w:p w14:paraId="49DEEF28" w14:textId="77777777" w:rsidR="00E61AC8" w:rsidRDefault="009B70DE" w:rsidP="00891C73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La strategia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</w:t>
      </w:r>
      <w:r w:rsidR="00D64261">
        <w:rPr>
          <w:rFonts w:ascii="Arial" w:eastAsia="Times New Roman" w:hAnsi="Arial" w:cs="Arial"/>
          <w:bCs/>
          <w:sz w:val="20"/>
          <w:szCs w:val="20"/>
          <w:lang w:eastAsia="it-IT"/>
        </w:rPr>
        <w:t>da adottare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entro l’11 luglio 2020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="00802015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D64261" w:rsidRPr="00D64261">
        <w:rPr>
          <w:rFonts w:ascii="Arial" w:eastAsia="Times New Roman" w:hAnsi="Arial" w:cs="Arial"/>
          <w:bCs/>
          <w:sz w:val="20"/>
          <w:szCs w:val="20"/>
          <w:lang w:eastAsia="it-IT"/>
        </w:rPr>
        <w:t>sarà</w:t>
      </w:r>
      <w:r w:rsidR="00D6426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finalizzata a </w:t>
      </w:r>
      <w:r w:rsidR="00891C73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>sostenere la ristrutturazione del parco nazionale di edifici residenziali e non residenziali, sia pubblici che privati</w:t>
      </w:r>
      <w:r w:rsidR="00891C73"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="00891C73"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D64261">
        <w:rPr>
          <w:rFonts w:ascii="Arial" w:eastAsia="Times New Roman" w:hAnsi="Arial" w:cs="Arial"/>
          <w:bCs/>
          <w:sz w:val="20"/>
          <w:szCs w:val="20"/>
          <w:lang w:eastAsia="it-IT"/>
        </w:rPr>
        <w:t>per</w:t>
      </w:r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ottenere un parco immobiliare </w:t>
      </w:r>
      <w:proofErr w:type="spellStart"/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>decarbonizzato</w:t>
      </w:r>
      <w:proofErr w:type="spellEnd"/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e ad alta efficienza energetica entro il 2050, facilitando la trasformazione degli edifici esistenti in Edif</w:t>
      </w:r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>ici a Energia quasi Zero (</w:t>
      </w:r>
      <w:proofErr w:type="spellStart"/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>nZEB</w:t>
      </w:r>
      <w:proofErr w:type="spellEnd"/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>)</w:t>
      </w:r>
      <w:r w:rsidR="00D64261">
        <w:rPr>
          <w:rFonts w:ascii="Arial" w:eastAsia="Times New Roman" w:hAnsi="Arial" w:cs="Arial"/>
          <w:bCs/>
          <w:sz w:val="20"/>
          <w:szCs w:val="20"/>
          <w:lang w:eastAsia="it-IT"/>
        </w:rPr>
        <w:t>. C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>omprenderà:</w:t>
      </w:r>
    </w:p>
    <w:p w14:paraId="0889A7ED" w14:textId="77777777" w:rsidR="00E61AC8" w:rsidRDefault="00891C73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l’individuazione di </w:t>
      </w:r>
      <w:r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approcci alla ristrutturazione efficace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 termini di costi</w:t>
      </w: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>in base al tipo di edificio ed alla zona climatica, anche valutando l’introduzione di obblighi di ristrutturazione, e promuovendo l’utilizzo di tecniche che implichino un maggior uso di elementi prefabbricati e la riduzione del tempo dei lavori di cantiere</w:t>
      </w:r>
    </w:p>
    <w:p w14:paraId="23FBF322" w14:textId="77777777" w:rsidR="00E61AC8" w:rsidRDefault="00891C73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una </w:t>
      </w:r>
      <w:r w:rsidR="009B70DE"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ricognizione</w:t>
      </w:r>
      <w:r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del parco immobiliare</w:t>
      </w: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nazionale</w:t>
      </w:r>
      <w:r w:rsidR="00E61AC8"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</w:p>
    <w:p w14:paraId="13AB367F" w14:textId="77777777" w:rsidR="00E61AC8" w:rsidRDefault="00E61AC8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una rassegna </w:t>
      </w:r>
      <w:r w:rsidR="00891C73"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delle politiche e delle azioni</w:t>
      </w:r>
      <w:r w:rsidR="00FA0BF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 vigore e delle </w:t>
      </w:r>
      <w:r w:rsidR="00FA0BF9" w:rsidRPr="00FA0BF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modifiche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 migliorarne l’efficacia</w:t>
      </w:r>
    </w:p>
    <w:p w14:paraId="2A566321" w14:textId="77777777" w:rsidR="00FA0BF9" w:rsidRDefault="00891C73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la proposta di </w:t>
      </w:r>
      <w:r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politiche e azioni</w:t>
      </w: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anche </w:t>
      </w:r>
      <w:r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 lungo termine</w:t>
      </w: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finalizzate a stimolare le ristrutturazioni importanti ed efficaci in termini di costi</w:t>
      </w:r>
      <w:r w:rsidR="00FA0BF9"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FA0BF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anche attraverso l’introduzione di un sistema facoltativo di “passaporto” di ristrutturazione degli edifici, </w:t>
      </w:r>
      <w:proofErr w:type="gramStart"/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>ed</w:t>
      </w:r>
      <w:proofErr w:type="gramEnd"/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ad accelerare la riqualificazione energetica</w:t>
      </w:r>
      <w:r w:rsidR="00FA0BF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di tutti gli edifici pubblici</w:t>
      </w:r>
    </w:p>
    <w:p w14:paraId="4F25BD48" w14:textId="77777777" w:rsidR="00FA0BF9" w:rsidRDefault="00FA0BF9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l’</w:t>
      </w:r>
      <w:r w:rsidR="00891C73" w:rsidRPr="00E61AC8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integrazione degli interventi di efficientamento energetico degli edifici con gli interventi per la riduzione del rischio sismico e di incendio</w:t>
      </w:r>
    </w:p>
    <w:p w14:paraId="75DB5A41" w14:textId="77777777" w:rsidR="00891C73" w:rsidRPr="00E61AC8" w:rsidRDefault="00891C73" w:rsidP="00E61AC8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61AC8">
        <w:rPr>
          <w:rFonts w:ascii="Arial" w:eastAsia="Times New Roman" w:hAnsi="Arial" w:cs="Arial"/>
          <w:bCs/>
          <w:sz w:val="20"/>
          <w:szCs w:val="20"/>
          <w:lang w:eastAsia="it-IT"/>
        </w:rPr>
        <w:t>una stima affidabile del risparmio energetico atteso, nonché dei benefici connessi alla salute, alla sicurezza e alla qualità dell’aria.</w:t>
      </w:r>
    </w:p>
    <w:p w14:paraId="7B226D6A" w14:textId="77777777" w:rsidR="00891C73" w:rsidRPr="00891C73" w:rsidRDefault="00891C73" w:rsidP="00891C73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>La rassegna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delle politiche e delle azioni in vigore sarà rivolta ai segmenti del parco immobiliare nazionale caratterizzati dalle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prestazioni peggiori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; a promuovere le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tecnologie intelligenti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comprese quelle che favoriscono l’interconnessione tra edifici; a promuovere le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competenze e la formazione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nei settori edile e dell’efficienza energetica; a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superare le inefficienze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quali ad esempio i casi in cui agli investimenti sostenuti per la riqualificazione energetica degli edifici non corrispondono adeguati benefici economici, energetici e ambientali; a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rimuovere le barriere alla diffusione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degli interventi di riqualificazione energetica, quali ad esempio le differenze tra i soggetti titolari di interessi contrapposti sul medesimo immobile ed ad alleviare la povertà energetica.</w:t>
      </w:r>
    </w:p>
    <w:p w14:paraId="72CC7ACF" w14:textId="77777777" w:rsidR="00891C73" w:rsidRPr="00891C73" w:rsidRDefault="00891C73" w:rsidP="00891C73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>La strategia</w:t>
      </w:r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</w:t>
      </w:r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>andrà in consultazione pubblica</w:t>
      </w:r>
      <w:r w:rsidR="00802015"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="00802015" w:rsidRPr="00802015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fisserà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obiettivi indicativi periodici per il 2030, il 2040 e il 2050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e </w:t>
      </w:r>
      <w:r w:rsidR="00D462D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il raggiungimento di un </w:t>
      </w:r>
      <w:r w:rsidR="00D462DC" w:rsidRPr="00D6426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tasso annuale di ristrutturazione</w:t>
      </w:r>
      <w:r w:rsidR="00D462D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degli edifici, al fine del miglioramento della prestazione energetica, </w:t>
      </w:r>
      <w:r w:rsidR="00D462DC" w:rsidRPr="00D6426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pari almeno al 3%</w:t>
      </w:r>
      <w:r w:rsidR="00D462D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e 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prevede </w:t>
      </w:r>
      <w:r w:rsidR="00D462D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la definizione di </w:t>
      </w:r>
      <w:r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indicatori di progresso misurabili</w:t>
      </w:r>
      <w:r w:rsidRPr="00891C73">
        <w:rPr>
          <w:rFonts w:ascii="Arial" w:eastAsia="Times New Roman" w:hAnsi="Arial" w:cs="Arial"/>
          <w:bCs/>
          <w:sz w:val="20"/>
          <w:szCs w:val="20"/>
          <w:lang w:eastAsia="it-IT"/>
        </w:rPr>
        <w:t>, oltre a specificare il modo in cui il conseguimento di tali obiettivi contribuisce al conseguimento degli obiettivi di efficienza energetica stabiliti nel Piano integrato per l’energia e il clima.</w:t>
      </w:r>
    </w:p>
    <w:p w14:paraId="2990486B" w14:textId="77777777" w:rsidR="000E3CBD" w:rsidRDefault="000E3CBD">
      <w:pPr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br w:type="page"/>
      </w:r>
    </w:p>
    <w:p w14:paraId="1F36F608" w14:textId="77777777" w:rsidR="00270F34" w:rsidRPr="00E358C9" w:rsidRDefault="00270F34" w:rsidP="00270F34">
      <w:pPr>
        <w:pStyle w:val="Titolo1"/>
        <w:spacing w:after="0"/>
        <w:rPr>
          <w:rFonts w:ascii="Arial" w:hAnsi="Arial"/>
          <w:color w:val="auto"/>
          <w:sz w:val="24"/>
          <w:szCs w:val="24"/>
        </w:rPr>
      </w:pPr>
      <w:bookmarkStart w:id="1" w:name="_Toc33194692"/>
      <w:r w:rsidRPr="00E358C9">
        <w:rPr>
          <w:rFonts w:ascii="Arial" w:hAnsi="Arial"/>
          <w:color w:val="auto"/>
          <w:sz w:val="24"/>
          <w:szCs w:val="24"/>
        </w:rPr>
        <w:lastRenderedPageBreak/>
        <w:t xml:space="preserve">Disciplina per le </w:t>
      </w:r>
      <w:proofErr w:type="gramStart"/>
      <w:r w:rsidRPr="00E358C9">
        <w:rPr>
          <w:rFonts w:ascii="Arial" w:hAnsi="Arial"/>
          <w:color w:val="auto"/>
          <w:sz w:val="24"/>
          <w:szCs w:val="24"/>
        </w:rPr>
        <w:t>infrastrutture  di</w:t>
      </w:r>
      <w:proofErr w:type="gramEnd"/>
      <w:r w:rsidRPr="00E358C9">
        <w:rPr>
          <w:rFonts w:ascii="Arial" w:hAnsi="Arial"/>
          <w:color w:val="auto"/>
          <w:sz w:val="24"/>
          <w:szCs w:val="24"/>
        </w:rPr>
        <w:t xml:space="preserve"> ricarica dei veicoli elettrici</w:t>
      </w:r>
      <w:bookmarkEnd w:id="1"/>
      <w:r w:rsidRPr="00E358C9">
        <w:rPr>
          <w:rFonts w:ascii="Arial" w:hAnsi="Arial"/>
          <w:color w:val="auto"/>
          <w:sz w:val="24"/>
          <w:szCs w:val="24"/>
        </w:rPr>
        <w:t xml:space="preserve"> </w:t>
      </w:r>
    </w:p>
    <w:p w14:paraId="1A895D7C" w14:textId="77777777" w:rsidR="00270F34" w:rsidRPr="00D44F24" w:rsidRDefault="00823122" w:rsidP="00E358C9">
      <w:pPr>
        <w:pStyle w:val="Stiletestocorrente"/>
        <w:spacing w:after="240"/>
        <w:ind w:left="0"/>
        <w:rPr>
          <w:rFonts w:cs="Arial"/>
          <w:i/>
          <w:szCs w:val="20"/>
          <w:lang w:eastAsia="it-IT"/>
        </w:rPr>
      </w:pPr>
      <w:r w:rsidRPr="00823122">
        <w:rPr>
          <w:rFonts w:cs="Arial"/>
          <w:i/>
          <w:szCs w:val="20"/>
          <w:lang w:eastAsia="it-IT"/>
        </w:rPr>
        <w:t>Art.</w:t>
      </w:r>
      <w:r>
        <w:rPr>
          <w:rFonts w:cs="Arial"/>
          <w:i/>
          <w:szCs w:val="20"/>
          <w:lang w:eastAsia="it-IT"/>
        </w:rPr>
        <w:t>6</w:t>
      </w:r>
      <w:r w:rsidRPr="00823122">
        <w:rPr>
          <w:rFonts w:cs="Arial"/>
          <w:i/>
          <w:szCs w:val="20"/>
          <w:lang w:eastAsia="it-IT"/>
        </w:rPr>
        <w:t xml:space="preserve"> del </w:t>
      </w:r>
      <w:proofErr w:type="spellStart"/>
      <w:r w:rsidRPr="00823122">
        <w:rPr>
          <w:rFonts w:cs="Arial"/>
          <w:i/>
          <w:szCs w:val="20"/>
          <w:lang w:eastAsia="it-IT"/>
        </w:rPr>
        <w:t>d.lgs</w:t>
      </w:r>
      <w:proofErr w:type="spellEnd"/>
      <w:r w:rsidRPr="00823122">
        <w:rPr>
          <w:rFonts w:cs="Arial"/>
          <w:i/>
          <w:szCs w:val="20"/>
          <w:lang w:eastAsia="it-IT"/>
        </w:rPr>
        <w:t xml:space="preserve"> 48/2020 che </w:t>
      </w:r>
      <w:r>
        <w:rPr>
          <w:rFonts w:cs="Arial"/>
          <w:i/>
          <w:szCs w:val="20"/>
          <w:lang w:eastAsia="it-IT"/>
        </w:rPr>
        <w:t>modifica l’a</w:t>
      </w:r>
      <w:r w:rsidR="00E358C9" w:rsidRPr="00D44F24">
        <w:rPr>
          <w:rFonts w:cs="Arial"/>
          <w:i/>
          <w:szCs w:val="20"/>
          <w:lang w:eastAsia="it-IT"/>
        </w:rPr>
        <w:t>rt</w:t>
      </w:r>
      <w:r w:rsidR="00270F34" w:rsidRPr="00D44F24">
        <w:rPr>
          <w:rFonts w:cs="Arial"/>
          <w:i/>
          <w:szCs w:val="20"/>
          <w:lang w:eastAsia="it-IT"/>
        </w:rPr>
        <w:t xml:space="preserve">. 4 </w:t>
      </w:r>
      <w:r w:rsidR="00D44F24" w:rsidRPr="00D44F24">
        <w:rPr>
          <w:rFonts w:cs="Arial"/>
          <w:i/>
          <w:szCs w:val="20"/>
          <w:lang w:eastAsia="it-IT"/>
        </w:rPr>
        <w:t>d.lgs.</w:t>
      </w:r>
      <w:r w:rsidR="00E358C9" w:rsidRPr="00D44F24">
        <w:rPr>
          <w:rFonts w:cs="Arial"/>
          <w:i/>
          <w:szCs w:val="20"/>
          <w:lang w:eastAsia="it-IT"/>
        </w:rPr>
        <w:t xml:space="preserve"> 192/2005 </w:t>
      </w:r>
      <w:r w:rsidR="00270F34" w:rsidRPr="00D44F24">
        <w:rPr>
          <w:rFonts w:cs="Arial"/>
          <w:i/>
          <w:szCs w:val="20"/>
          <w:lang w:eastAsia="it-IT"/>
        </w:rPr>
        <w:t>e art. 16</w:t>
      </w:r>
      <w:r>
        <w:rPr>
          <w:rFonts w:cs="Arial"/>
          <w:i/>
          <w:szCs w:val="20"/>
          <w:lang w:eastAsia="it-IT"/>
        </w:rPr>
        <w:t xml:space="preserve"> che</w:t>
      </w:r>
      <w:r w:rsidR="00270F34" w:rsidRPr="00D44F24">
        <w:rPr>
          <w:rFonts w:cs="Arial"/>
          <w:i/>
          <w:szCs w:val="20"/>
          <w:lang w:eastAsia="it-IT"/>
        </w:rPr>
        <w:t xml:space="preserve"> modific</w:t>
      </w:r>
      <w:r>
        <w:rPr>
          <w:rFonts w:cs="Arial"/>
          <w:i/>
          <w:szCs w:val="20"/>
          <w:lang w:eastAsia="it-IT"/>
        </w:rPr>
        <w:t>a i</w:t>
      </w:r>
      <w:r w:rsidR="00270F34" w:rsidRPr="00D44F24">
        <w:rPr>
          <w:rFonts w:cs="Arial"/>
          <w:i/>
          <w:szCs w:val="20"/>
          <w:lang w:eastAsia="it-IT"/>
        </w:rPr>
        <w:t xml:space="preserve">l DPR 380/2001 </w:t>
      </w:r>
    </w:p>
    <w:p w14:paraId="22D429F4" w14:textId="77777777" w:rsidR="00891C73" w:rsidRPr="00891C73" w:rsidRDefault="00891C73" w:rsidP="00802015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Il decreto </w:t>
      </w:r>
      <w:r w:rsidR="000E3CBD"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prevede </w:t>
      </w:r>
      <w:r w:rsidR="000E3CBD"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l’integrazione negli edifici di impianti tecnici e di infrastrutture per la ricarica dei veicoli elettrici</w:t>
      </w:r>
      <w:r w:rsid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,</w:t>
      </w:r>
      <w:r w:rsidR="000E3CBD"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abroga</w:t>
      </w:r>
      <w:r w:rsidR="000E3CBD"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ndo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le attuali indicazioni del DPR 380/2001</w:t>
      </w:r>
      <w:r w:rsid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stabilendo che verranno definite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, con uno o più decreti ministeriali, le modalità per l'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integrazione delle tecnologie per la ricarica dei veicoli elettrici negli edifici,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tenendo conto dell'analisi costi-benefici del ciclo di vita economico degli edifici e delle stime di utilizzo delle infrastrutture di ricarica. Tali decreti, che individueranno anche misure volte a favorire la semplificazione dell'installazione di punti di ricarica e il superamento di eventuali ostacoli normativi, prevederanno l’installazione di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almeno un punto di ricarica e le infrastrutture di canalizzazione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(cioè condotti per cavi elettrici), quest’ultime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per almeno un posto auto ogni cinque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 caso di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edifici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non residenziali, 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sia di nuova costruzione che sottoposti a ristrutturazioni importanti, dotati di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più di 10 posti auto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. Nel caso di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edifici residenziali</w:t>
      </w:r>
      <w:r w:rsid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,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sia di nuova costruzione che sottoposti a ristrutturazioni importanti, dotati di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più di 10 posti auto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, sono </w:t>
      </w:r>
      <w:r w:rsidR="00726A61"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previste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, </w:t>
      </w:r>
      <w:r w:rsid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per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ogni posto auto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,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infrastrutture di canalizzazione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. Il decreto stabilisce anche che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entro 180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giorni dall’entrata in vigore dei decreti previsti, 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 comuni adegu</w:t>
      </w:r>
      <w:r w:rsid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no il loro regolamento affinché</w:t>
      </w:r>
      <w:r w:rsidR="00726A61"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,</w:t>
      </w:r>
      <w:r w:rsidRPr="00146DAA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ai fini del conseguimento del titolo abilitativo edilizio</w:t>
      </w:r>
      <w:r w:rsidR="00726A61"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,</w:t>
      </w:r>
      <w:r w:rsidRPr="00146DAA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siano rispettati i requisiti di integrazione delle tecnologie per la ricarica dei veicoli elettrici negli edifici sia residenziali che non, di nuova costruzione o sottoposti a interventi di ristrutturazione importante.</w:t>
      </w:r>
    </w:p>
    <w:p w14:paraId="405A2931" w14:textId="77777777" w:rsidR="00E53349" w:rsidRDefault="00E53349" w:rsidP="00C723DC">
      <w:pPr>
        <w:pStyle w:val="Titolo1"/>
        <w:spacing w:after="0"/>
        <w:rPr>
          <w:rFonts w:ascii="Arial" w:hAnsi="Arial"/>
          <w:color w:val="auto"/>
          <w:sz w:val="24"/>
          <w:szCs w:val="24"/>
        </w:rPr>
      </w:pPr>
      <w:bookmarkStart w:id="2" w:name="_Toc33194690"/>
    </w:p>
    <w:p w14:paraId="5DEB1570" w14:textId="77777777" w:rsidR="00C723DC" w:rsidRPr="00E358C9" w:rsidRDefault="00C723DC" w:rsidP="00C723DC">
      <w:pPr>
        <w:pStyle w:val="Titolo1"/>
        <w:spacing w:after="0"/>
        <w:rPr>
          <w:rFonts w:ascii="Arial" w:hAnsi="Arial"/>
          <w:color w:val="auto"/>
          <w:sz w:val="24"/>
          <w:szCs w:val="24"/>
        </w:rPr>
      </w:pPr>
      <w:r w:rsidRPr="00E358C9">
        <w:rPr>
          <w:rFonts w:ascii="Arial" w:hAnsi="Arial"/>
          <w:color w:val="auto"/>
          <w:sz w:val="24"/>
          <w:szCs w:val="24"/>
        </w:rPr>
        <w:t>Strumenti finanziari e superamento delle barriere di mercato</w:t>
      </w:r>
      <w:bookmarkEnd w:id="2"/>
      <w:r w:rsidRPr="00E358C9">
        <w:rPr>
          <w:rFonts w:ascii="Arial" w:hAnsi="Arial"/>
          <w:color w:val="auto"/>
          <w:sz w:val="24"/>
          <w:szCs w:val="24"/>
        </w:rPr>
        <w:t xml:space="preserve"> </w:t>
      </w:r>
    </w:p>
    <w:p w14:paraId="1EA26552" w14:textId="77777777" w:rsidR="00C723DC" w:rsidRPr="00D44F24" w:rsidRDefault="00C723DC" w:rsidP="00E358C9">
      <w:pPr>
        <w:pStyle w:val="Stiletestocorrente"/>
        <w:spacing w:after="240"/>
        <w:ind w:left="0"/>
        <w:rPr>
          <w:rFonts w:cs="Arial"/>
          <w:i/>
          <w:szCs w:val="20"/>
          <w:lang w:eastAsia="it-IT"/>
        </w:rPr>
      </w:pPr>
      <w:r w:rsidRPr="00D44F24">
        <w:rPr>
          <w:rFonts w:cs="Arial"/>
          <w:i/>
          <w:szCs w:val="20"/>
          <w:lang w:eastAsia="it-IT"/>
        </w:rPr>
        <w:t xml:space="preserve">Art. 7 </w:t>
      </w:r>
      <w:r w:rsidR="00823122" w:rsidRPr="00823122">
        <w:rPr>
          <w:rFonts w:cs="Arial"/>
          <w:i/>
          <w:szCs w:val="20"/>
          <w:lang w:eastAsia="it-IT"/>
        </w:rPr>
        <w:t xml:space="preserve">del </w:t>
      </w:r>
      <w:proofErr w:type="spellStart"/>
      <w:r w:rsidR="00823122" w:rsidRPr="00823122">
        <w:rPr>
          <w:rFonts w:cs="Arial"/>
          <w:i/>
          <w:szCs w:val="20"/>
          <w:lang w:eastAsia="it-IT"/>
        </w:rPr>
        <w:t>d.lgs</w:t>
      </w:r>
      <w:proofErr w:type="spellEnd"/>
      <w:r w:rsidR="00823122" w:rsidRPr="00823122">
        <w:rPr>
          <w:rFonts w:cs="Arial"/>
          <w:i/>
          <w:szCs w:val="20"/>
          <w:lang w:eastAsia="it-IT"/>
        </w:rPr>
        <w:t xml:space="preserve"> 48/2020 </w:t>
      </w:r>
      <w:r w:rsidRPr="00D44F24">
        <w:rPr>
          <w:rFonts w:cs="Arial"/>
          <w:i/>
          <w:szCs w:val="20"/>
          <w:lang w:eastAsia="it-IT"/>
        </w:rPr>
        <w:t xml:space="preserve">che modifica l’articolo 4-ter del </w:t>
      </w:r>
      <w:proofErr w:type="spellStart"/>
      <w:r w:rsidR="00E358C9" w:rsidRPr="00D44F24">
        <w:rPr>
          <w:rFonts w:cs="Arial"/>
          <w:i/>
          <w:szCs w:val="20"/>
          <w:lang w:eastAsia="it-IT"/>
        </w:rPr>
        <w:t>d.lgs</w:t>
      </w:r>
      <w:proofErr w:type="spellEnd"/>
      <w:r w:rsidR="00E358C9" w:rsidRPr="00D44F24">
        <w:rPr>
          <w:rFonts w:cs="Arial"/>
          <w:i/>
          <w:szCs w:val="20"/>
          <w:lang w:eastAsia="it-IT"/>
        </w:rPr>
        <w:t xml:space="preserve"> 192/2005</w:t>
      </w:r>
    </w:p>
    <w:p w14:paraId="5715C963" w14:textId="77777777" w:rsidR="00E358C9" w:rsidRDefault="00E358C9" w:rsidP="00C723DC">
      <w:pPr>
        <w:pStyle w:val="Stiletestocorrente"/>
        <w:ind w:left="0"/>
        <w:rPr>
          <w:color w:val="002060"/>
          <w:lang w:eastAsia="it-IT"/>
        </w:rPr>
      </w:pPr>
    </w:p>
    <w:p w14:paraId="79DBC98E" w14:textId="77777777" w:rsidR="008D2304" w:rsidRPr="008D2304" w:rsidRDefault="008D2304" w:rsidP="008D2304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L’art. 7 </w:t>
      </w:r>
      <w:r w:rsidR="00D44F2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del d.lgs. 48/2020 </w:t>
      </w: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>integra</w:t>
      </w:r>
      <w:r w:rsidR="00D44F2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il testo dell’art. 4-ter del d.l</w:t>
      </w: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gs. 192/2005, recante i principi per l’introduzione di incentivi a qualsiasi titolo previsti (anche di natura fiscale) volti alla promozione dell’efficienza energetica degli edifici. </w:t>
      </w:r>
    </w:p>
    <w:p w14:paraId="7FD050AE" w14:textId="77777777" w:rsidR="008D2304" w:rsidRPr="008D2304" w:rsidRDefault="008D2304" w:rsidP="008D2304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In particolare,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il</w:t>
      </w: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D44F24">
        <w:rPr>
          <w:rFonts w:ascii="Arial" w:eastAsia="Times New Roman" w:hAnsi="Arial" w:cs="Arial"/>
          <w:bCs/>
          <w:sz w:val="20"/>
          <w:szCs w:val="20"/>
          <w:lang w:eastAsia="it-IT"/>
        </w:rPr>
        <w:t>decreto</w:t>
      </w: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introdu</w:t>
      </w:r>
      <w:r w:rsidR="00D44F24">
        <w:rPr>
          <w:rFonts w:ascii="Arial" w:eastAsia="Times New Roman" w:hAnsi="Arial" w:cs="Arial"/>
          <w:bCs/>
          <w:sz w:val="20"/>
          <w:szCs w:val="20"/>
          <w:lang w:eastAsia="it-IT"/>
        </w:rPr>
        <w:t>ce</w:t>
      </w: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un nuovo comma 1-bis al suddetto articolo 4-ter. Nel caso di interventi di ristrutturazione degli edifici, la previsione impone il riconoscimento di incentivi in funzione del risparmio energetico perseguito o conseguito e ne attribuisce il relativo monitoraggio alla stessa autorità che ha concesso l’incentivo, secondo particolari criteri.</w:t>
      </w:r>
    </w:p>
    <w:p w14:paraId="75B42C67" w14:textId="77777777" w:rsidR="008D2304" w:rsidRPr="008D2304" w:rsidRDefault="008D2304" w:rsidP="008D2304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Nella sostanza, l’articolato riproduce quanto effettivamente già accade nell’ordinamento italiano per gli incentivi fiscali per la riqualificazione energetica. </w:t>
      </w:r>
    </w:p>
    <w:p w14:paraId="1C185BBD" w14:textId="77777777" w:rsidR="008D2304" w:rsidRPr="008D2304" w:rsidRDefault="00D44F24" w:rsidP="008D2304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>Infatti</w:t>
      </w:r>
      <w:r w:rsidR="008D2304" w:rsidRPr="008D2304">
        <w:rPr>
          <w:rFonts w:ascii="Arial" w:eastAsia="Times New Roman" w:hAnsi="Arial" w:cs="Arial"/>
          <w:bCs/>
          <w:sz w:val="20"/>
          <w:szCs w:val="20"/>
          <w:lang w:eastAsia="it-IT"/>
        </w:rPr>
        <w:t>, l’art. 14 del DL 63/2013 convertito con modifiche nella legge 90/2013, recante la disciplina dell’Ecobonus (detrazione riconosciuta sino ad un massimo del 75% per interventi di efficientamento energetico degli edifici), modula l’entità degli incentivi alla tipologia di intervento effettuato e all’obiettivo di risparmio energetico conseguito. Allo stesso tempo, il medesimo art. 14 già attribuisce il monitoraggio e la valutazione del risparmio conseguito a seguito di tali interventi all’Agenzia Nazionale per le Nuove tecnologie, l’energia e lo sviluppo economico sostenibile (ENEA).</w:t>
      </w:r>
    </w:p>
    <w:p w14:paraId="6D841FEC" w14:textId="77777777" w:rsidR="00E358C9" w:rsidRDefault="00E358C9" w:rsidP="00C723DC">
      <w:pPr>
        <w:pStyle w:val="Stiletestocorrente"/>
        <w:ind w:left="0"/>
        <w:rPr>
          <w:color w:val="002060"/>
          <w:lang w:eastAsia="it-IT"/>
        </w:rPr>
      </w:pPr>
    </w:p>
    <w:p w14:paraId="00C99EC5" w14:textId="77777777" w:rsidR="00270F34" w:rsidRDefault="00270F34" w:rsidP="00C723DC">
      <w:pPr>
        <w:pStyle w:val="Stiletestocorrente"/>
        <w:ind w:left="0"/>
        <w:rPr>
          <w:color w:val="002060"/>
          <w:lang w:eastAsia="it-IT"/>
        </w:rPr>
      </w:pPr>
    </w:p>
    <w:p w14:paraId="51DC8CC2" w14:textId="77777777" w:rsidR="00270F34" w:rsidRPr="00E358C9" w:rsidRDefault="00270F34" w:rsidP="00270F34">
      <w:pPr>
        <w:pStyle w:val="Titolo1"/>
        <w:spacing w:after="0"/>
        <w:rPr>
          <w:rFonts w:ascii="Arial" w:hAnsi="Arial"/>
          <w:color w:val="auto"/>
          <w:sz w:val="24"/>
          <w:szCs w:val="24"/>
        </w:rPr>
      </w:pPr>
      <w:bookmarkStart w:id="3" w:name="_Toc33194691"/>
      <w:r w:rsidRPr="00E358C9">
        <w:rPr>
          <w:rFonts w:ascii="Arial" w:hAnsi="Arial"/>
          <w:color w:val="auto"/>
          <w:sz w:val="24"/>
          <w:szCs w:val="24"/>
        </w:rPr>
        <w:t>Requisiti di qualificazione e formazione</w:t>
      </w:r>
      <w:bookmarkEnd w:id="3"/>
    </w:p>
    <w:p w14:paraId="1510DA3A" w14:textId="77777777" w:rsidR="00270F34" w:rsidRPr="00D44F24" w:rsidRDefault="00270F34" w:rsidP="00E358C9">
      <w:pPr>
        <w:pStyle w:val="Stiletestocorrente"/>
        <w:spacing w:after="240"/>
        <w:ind w:left="0"/>
        <w:rPr>
          <w:rFonts w:cs="Arial"/>
          <w:i/>
          <w:szCs w:val="20"/>
          <w:lang w:eastAsia="it-IT"/>
        </w:rPr>
      </w:pPr>
      <w:r w:rsidRPr="00D44F24">
        <w:rPr>
          <w:rFonts w:cs="Arial"/>
          <w:i/>
          <w:szCs w:val="20"/>
          <w:lang w:eastAsia="it-IT"/>
        </w:rPr>
        <w:t xml:space="preserve">Art. 7 </w:t>
      </w:r>
      <w:r w:rsidR="00823122" w:rsidRPr="00823122">
        <w:rPr>
          <w:rFonts w:cs="Arial"/>
          <w:i/>
          <w:szCs w:val="20"/>
          <w:lang w:eastAsia="it-IT"/>
        </w:rPr>
        <w:t xml:space="preserve">del </w:t>
      </w:r>
      <w:proofErr w:type="spellStart"/>
      <w:r w:rsidR="00823122" w:rsidRPr="00823122">
        <w:rPr>
          <w:rFonts w:cs="Arial"/>
          <w:i/>
          <w:szCs w:val="20"/>
          <w:lang w:eastAsia="it-IT"/>
        </w:rPr>
        <w:t>d.lgs</w:t>
      </w:r>
      <w:proofErr w:type="spellEnd"/>
      <w:r w:rsidR="00823122" w:rsidRPr="00823122">
        <w:rPr>
          <w:rFonts w:cs="Arial"/>
          <w:i/>
          <w:szCs w:val="20"/>
          <w:lang w:eastAsia="it-IT"/>
        </w:rPr>
        <w:t xml:space="preserve"> 48/2020 </w:t>
      </w:r>
      <w:r w:rsidRPr="00D44F24">
        <w:rPr>
          <w:rFonts w:cs="Arial"/>
          <w:i/>
          <w:szCs w:val="20"/>
          <w:lang w:eastAsia="it-IT"/>
        </w:rPr>
        <w:t xml:space="preserve">che modifica l’articolo 4-ter del </w:t>
      </w:r>
      <w:proofErr w:type="spellStart"/>
      <w:r w:rsidR="00E358C9" w:rsidRPr="00D44F24">
        <w:rPr>
          <w:rFonts w:cs="Arial"/>
          <w:i/>
          <w:szCs w:val="20"/>
          <w:lang w:eastAsia="it-IT"/>
        </w:rPr>
        <w:t>d.lgs</w:t>
      </w:r>
      <w:proofErr w:type="spellEnd"/>
      <w:r w:rsidR="00E358C9" w:rsidRPr="00D44F24">
        <w:rPr>
          <w:rFonts w:cs="Arial"/>
          <w:i/>
          <w:szCs w:val="20"/>
          <w:lang w:eastAsia="it-IT"/>
        </w:rPr>
        <w:t xml:space="preserve"> 192/2005</w:t>
      </w:r>
    </w:p>
    <w:p w14:paraId="4290A9A7" w14:textId="77777777" w:rsidR="00C723DC" w:rsidRDefault="00C723DC" w:rsidP="00C723DC">
      <w:pPr>
        <w:pStyle w:val="Stiletestocorrente"/>
        <w:ind w:left="0"/>
        <w:rPr>
          <w:color w:val="002060"/>
          <w:lang w:eastAsia="it-IT"/>
        </w:rPr>
      </w:pPr>
    </w:p>
    <w:p w14:paraId="42C9498E" w14:textId="77777777" w:rsidR="000E3CBD" w:rsidRDefault="000E3CBD" w:rsidP="006C3E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Il decreto introduce </w:t>
      </w:r>
      <w:r w:rsidR="00891C73"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la qualificazione obbligatoria 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degli </w:t>
      </w:r>
      <w:r w:rsidR="00891C73"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operatori che eseguono interventi di isolamento termico</w:t>
      </w:r>
      <w:r w:rsidR="00146DA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o</w:t>
      </w:r>
      <w:r w:rsidR="00891C73"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installazione impianti, </w:t>
      </w:r>
      <w:r w:rsidR="00146DA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nel caso di accesso</w:t>
      </w:r>
      <w:r w:rsidR="006C3E2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a</w:t>
      </w:r>
      <w:r w:rsidR="00146DA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</w:t>
      </w:r>
      <w:r w:rsidR="00891C73" w:rsidRPr="00891C7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incentivi pubblici</w:t>
      </w:r>
      <w:r w:rsidR="006C3E26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.</w:t>
      </w:r>
    </w:p>
    <w:p w14:paraId="3F1796EA" w14:textId="77777777" w:rsidR="00891C73" w:rsidRPr="000E3CBD" w:rsidRDefault="00146DAA" w:rsidP="006C3E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V</w:t>
      </w: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erranno definiti</w:t>
      </w:r>
      <w:r w:rsidRPr="00891C7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</w:t>
      </w:r>
      <w:r w:rsidRPr="000E3CBD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con decreto del Presidente della Repubblica</w:t>
      </w: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(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su proposta MISE ed acquisita</w:t>
      </w: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l’intesa della Conferenza Stato</w:t>
      </w: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–Regioni)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, i</w:t>
      </w:r>
      <w:r w:rsidR="000E3CBD" w:rsidRPr="00891C7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</w:t>
      </w:r>
      <w:r w:rsidR="000E3CBD" w:rsidRPr="006C3E26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requisiti degli operatori che provvedono all’installazione degli </w:t>
      </w:r>
      <w:r w:rsidR="000E3CBD" w:rsidRPr="006C3E26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lastRenderedPageBreak/>
        <w:t>elementi edilizi e dei sistemi tecnici per l’edilizia</w:t>
      </w:r>
      <w:r w:rsidR="000E3CBD" w:rsidRPr="006C3E26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,</w:t>
      </w:r>
      <w:r w:rsidR="000E3CBD"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tenendo conto della necessità di garantire </w:t>
      </w:r>
      <w:r w:rsidR="000E3CBD" w:rsidRPr="00891C7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l’adeguata competenza </w:t>
      </w:r>
      <w:r w:rsidR="006D5468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 tali</w:t>
      </w:r>
      <w:r w:rsidR="000E3CBD" w:rsidRPr="00891C7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 xml:space="preserve"> operatori</w:t>
      </w:r>
      <w:r w:rsidR="000E3CBD"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0E3CBD" w:rsidRPr="00891C7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considerando tra l’altro il livello di formazione professionale,</w:t>
      </w:r>
      <w:r w:rsidR="000E3CBD"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conseguito anche attraverso corsi specialistici e certi</w:t>
      </w:r>
      <w:r w:rsidR="006D5468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ficazioni.</w:t>
      </w:r>
      <w:r w:rsidR="000E3CBD"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0705700B" w14:textId="77777777" w:rsidR="00891C73" w:rsidRPr="00891C73" w:rsidRDefault="00891C73" w:rsidP="00891C73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Decorsi 180 giorni dalla data di entrata in vigore del </w:t>
      </w:r>
      <w:r w:rsidR="006D5468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previsto </w:t>
      </w:r>
      <w:proofErr w:type="gramStart"/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DPR,  gli</w:t>
      </w:r>
      <w:proofErr w:type="gramEnd"/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incentivi pubblici </w:t>
      </w:r>
      <w:r w:rsidR="006D5468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saranno</w:t>
      </w:r>
      <w:r w:rsidRPr="00891C73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concessi a condizione che i predetti sistemi siano installati da un operatore in po</w:t>
      </w:r>
      <w:r w:rsidR="006C3E26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ssesso dei requisiti prescritti.</w:t>
      </w:r>
    </w:p>
    <w:p w14:paraId="76A81216" w14:textId="77777777" w:rsidR="00891C73" w:rsidRPr="00891C73" w:rsidRDefault="00891C73" w:rsidP="00891C73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8CAC9C2" w14:textId="77777777" w:rsidR="00891C73" w:rsidRPr="00891C73" w:rsidRDefault="00891C73" w:rsidP="00891C73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06AAE362" w14:textId="77777777" w:rsidR="001F7478" w:rsidRPr="001F7478" w:rsidRDefault="001F7478" w:rsidP="001F7478">
      <w:pPr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sectPr w:rsidR="001F7478" w:rsidRPr="001F7478" w:rsidSect="00B34FF4">
      <w:headerReference w:type="default" r:id="rId8"/>
      <w:footerReference w:type="default" r:id="rId9"/>
      <w:headerReference w:type="first" r:id="rId10"/>
      <w:pgSz w:w="11906" w:h="16838"/>
      <w:pgMar w:top="1701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8C8BE" w14:textId="77777777" w:rsidR="00871679" w:rsidRDefault="00871679" w:rsidP="008B5F37">
      <w:pPr>
        <w:spacing w:after="0" w:line="240" w:lineRule="auto"/>
      </w:pPr>
      <w:r>
        <w:separator/>
      </w:r>
    </w:p>
  </w:endnote>
  <w:endnote w:type="continuationSeparator" w:id="0">
    <w:p w14:paraId="497FAD35" w14:textId="77777777" w:rsidR="00871679" w:rsidRDefault="00871679" w:rsidP="008B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105083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0E5A120D" w14:textId="77777777" w:rsidR="00CF1A8B" w:rsidRPr="00CF1A8B" w:rsidRDefault="00CF1A8B">
        <w:pPr>
          <w:pStyle w:val="Pidipagina"/>
          <w:jc w:val="right"/>
          <w:rPr>
            <w:rFonts w:ascii="Arial" w:hAnsi="Arial" w:cs="Arial"/>
            <w:sz w:val="16"/>
          </w:rPr>
        </w:pPr>
        <w:r w:rsidRPr="00CF1A8B">
          <w:rPr>
            <w:rFonts w:ascii="Arial" w:hAnsi="Arial" w:cs="Arial"/>
            <w:sz w:val="16"/>
          </w:rPr>
          <w:fldChar w:fldCharType="begin"/>
        </w:r>
        <w:r w:rsidRPr="00CF1A8B">
          <w:rPr>
            <w:rFonts w:ascii="Arial" w:hAnsi="Arial" w:cs="Arial"/>
            <w:sz w:val="16"/>
          </w:rPr>
          <w:instrText>PAGE   \* MERGEFORMAT</w:instrText>
        </w:r>
        <w:r w:rsidRPr="00CF1A8B">
          <w:rPr>
            <w:rFonts w:ascii="Arial" w:hAnsi="Arial" w:cs="Arial"/>
            <w:sz w:val="16"/>
          </w:rPr>
          <w:fldChar w:fldCharType="separate"/>
        </w:r>
        <w:r w:rsidR="00823122">
          <w:rPr>
            <w:rFonts w:ascii="Arial" w:hAnsi="Arial" w:cs="Arial"/>
            <w:noProof/>
            <w:sz w:val="16"/>
          </w:rPr>
          <w:t>2</w:t>
        </w:r>
        <w:r w:rsidRPr="00CF1A8B">
          <w:rPr>
            <w:rFonts w:ascii="Arial" w:hAnsi="Arial" w:cs="Arial"/>
            <w:sz w:val="16"/>
          </w:rPr>
          <w:fldChar w:fldCharType="end"/>
        </w:r>
      </w:p>
    </w:sdtContent>
  </w:sdt>
  <w:p w14:paraId="3073258F" w14:textId="77777777" w:rsidR="00CF1A8B" w:rsidRDefault="00CF1A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D58C2" w14:textId="77777777" w:rsidR="00871679" w:rsidRDefault="00871679" w:rsidP="008B5F37">
      <w:pPr>
        <w:spacing w:after="0" w:line="240" w:lineRule="auto"/>
      </w:pPr>
      <w:r>
        <w:separator/>
      </w:r>
    </w:p>
  </w:footnote>
  <w:footnote w:type="continuationSeparator" w:id="0">
    <w:p w14:paraId="77449666" w14:textId="77777777" w:rsidR="00871679" w:rsidRDefault="00871679" w:rsidP="008B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0CD" w14:textId="77777777" w:rsidR="00CF1A8B" w:rsidRDefault="00CF1A8B" w:rsidP="00CF1A8B">
    <w:pPr>
      <w:pStyle w:val="Intestazione"/>
      <w:ind w:left="-1134"/>
    </w:pPr>
    <w:r w:rsidRPr="00CF1A8B">
      <w:rPr>
        <w:noProof/>
        <w:lang w:eastAsia="it-IT"/>
      </w:rPr>
      <w:drawing>
        <wp:inline distT="0" distB="0" distL="0" distR="0" wp14:anchorId="676F2561" wp14:editId="2DF9EDDB">
          <wp:extent cx="6120130" cy="877677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7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94F72" w14:textId="77777777" w:rsidR="00010FFA" w:rsidRPr="00010FFA" w:rsidRDefault="00010FFA" w:rsidP="00010FFA">
    <w:pPr>
      <w:tabs>
        <w:tab w:val="center" w:pos="4819"/>
        <w:tab w:val="right" w:pos="9638"/>
      </w:tabs>
      <w:spacing w:after="0" w:line="240" w:lineRule="auto"/>
      <w:ind w:left="-1418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6826A872" wp14:editId="2E191EF7">
          <wp:extent cx="6116955" cy="875030"/>
          <wp:effectExtent l="0" t="0" r="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987CF" w14:textId="77777777" w:rsidR="00010FFA" w:rsidRPr="00010FFA" w:rsidRDefault="00010FFA" w:rsidP="00010FFA">
    <w:pPr>
      <w:tabs>
        <w:tab w:val="center" w:pos="4819"/>
        <w:tab w:val="right" w:pos="9638"/>
      </w:tabs>
      <w:spacing w:after="0" w:line="240" w:lineRule="auto"/>
      <w:ind w:left="-1418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</w:p>
  <w:p w14:paraId="416BB6F0" w14:textId="77777777" w:rsidR="00010FFA" w:rsidRPr="00010FFA" w:rsidRDefault="00010FFA" w:rsidP="00010FFA">
    <w:pPr>
      <w:tabs>
        <w:tab w:val="center" w:pos="4819"/>
        <w:tab w:val="right" w:pos="9638"/>
      </w:tabs>
      <w:spacing w:after="0" w:line="240" w:lineRule="auto"/>
      <w:ind w:left="-1418"/>
      <w:rPr>
        <w:rFonts w:ascii="Arial" w:eastAsia="Times New Roman" w:hAnsi="Arial" w:cs="Arial"/>
        <w:noProof/>
        <w:sz w:val="18"/>
        <w:szCs w:val="20"/>
        <w:lang w:eastAsia="it-IT"/>
      </w:rPr>
    </w:pPr>
  </w:p>
  <w:p w14:paraId="5C55EB81" w14:textId="77777777" w:rsidR="00010FFA" w:rsidRPr="00010FFA" w:rsidRDefault="00010FFA" w:rsidP="00010FFA">
    <w:pPr>
      <w:tabs>
        <w:tab w:val="center" w:pos="4819"/>
        <w:tab w:val="right" w:pos="9638"/>
      </w:tabs>
      <w:spacing w:after="0" w:line="240" w:lineRule="auto"/>
      <w:ind w:left="709"/>
      <w:rPr>
        <w:rFonts w:ascii="Arial" w:eastAsia="Times New Roman" w:hAnsi="Arial" w:cs="Arial"/>
        <w:noProof/>
        <w:sz w:val="18"/>
        <w:szCs w:val="20"/>
        <w:lang w:eastAsia="it-IT"/>
      </w:rPr>
    </w:pPr>
    <w:r w:rsidRPr="00010FFA">
      <w:rPr>
        <w:rFonts w:ascii="Arial" w:eastAsia="Times New Roman" w:hAnsi="Arial" w:cs="Arial"/>
        <w:noProof/>
        <w:sz w:val="18"/>
        <w:szCs w:val="20"/>
        <w:lang w:eastAsia="it-IT"/>
      </w:rPr>
      <w:t>Tecnologie e Qualità delle Costruzioni</w:t>
    </w:r>
  </w:p>
  <w:p w14:paraId="6738974B" w14:textId="77777777" w:rsidR="00CF1A8B" w:rsidRDefault="00CF1A8B" w:rsidP="00913E50">
    <w:pPr>
      <w:pStyle w:val="Intestazione"/>
      <w:ind w:left="-1701"/>
    </w:pPr>
  </w:p>
  <w:p w14:paraId="0110F383" w14:textId="77777777" w:rsidR="009446CE" w:rsidRDefault="009446CE" w:rsidP="009446CE">
    <w:pPr>
      <w:pStyle w:val="Intestazion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37B"/>
    <w:multiLevelType w:val="hybridMultilevel"/>
    <w:tmpl w:val="681C9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9FB"/>
    <w:multiLevelType w:val="hybridMultilevel"/>
    <w:tmpl w:val="87DA1E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00EC6"/>
    <w:multiLevelType w:val="hybridMultilevel"/>
    <w:tmpl w:val="DA684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09F"/>
    <w:multiLevelType w:val="hybridMultilevel"/>
    <w:tmpl w:val="45342A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D3592"/>
    <w:multiLevelType w:val="hybridMultilevel"/>
    <w:tmpl w:val="C3BC7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654E1"/>
    <w:multiLevelType w:val="hybridMultilevel"/>
    <w:tmpl w:val="51A49AE6"/>
    <w:lvl w:ilvl="0" w:tplc="740453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9672B63"/>
    <w:multiLevelType w:val="hybridMultilevel"/>
    <w:tmpl w:val="A84E6672"/>
    <w:lvl w:ilvl="0" w:tplc="6602D0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5A43"/>
    <w:multiLevelType w:val="hybridMultilevel"/>
    <w:tmpl w:val="1AA48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4840"/>
    <w:multiLevelType w:val="hybridMultilevel"/>
    <w:tmpl w:val="34F40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37E7D"/>
    <w:multiLevelType w:val="hybridMultilevel"/>
    <w:tmpl w:val="C5E8E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97C77"/>
    <w:multiLevelType w:val="hybridMultilevel"/>
    <w:tmpl w:val="4C0CBB74"/>
    <w:lvl w:ilvl="0" w:tplc="7404533A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9EC1EFF"/>
    <w:multiLevelType w:val="hybridMultilevel"/>
    <w:tmpl w:val="967A4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3FC"/>
    <w:multiLevelType w:val="hybridMultilevel"/>
    <w:tmpl w:val="0F186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02BB"/>
    <w:multiLevelType w:val="hybridMultilevel"/>
    <w:tmpl w:val="CF1E5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878D9"/>
    <w:multiLevelType w:val="hybridMultilevel"/>
    <w:tmpl w:val="F926D0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01716"/>
    <w:multiLevelType w:val="hybridMultilevel"/>
    <w:tmpl w:val="A6DE3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95FD9"/>
    <w:multiLevelType w:val="hybridMultilevel"/>
    <w:tmpl w:val="9B8A9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D7A4F"/>
    <w:multiLevelType w:val="hybridMultilevel"/>
    <w:tmpl w:val="17C2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1"/>
    <w:rsid w:val="00003E59"/>
    <w:rsid w:val="0000751D"/>
    <w:rsid w:val="00010FFA"/>
    <w:rsid w:val="00015B5A"/>
    <w:rsid w:val="00030778"/>
    <w:rsid w:val="00040F0C"/>
    <w:rsid w:val="00062E5B"/>
    <w:rsid w:val="0006476D"/>
    <w:rsid w:val="00065148"/>
    <w:rsid w:val="000721F8"/>
    <w:rsid w:val="00076A20"/>
    <w:rsid w:val="00084FA0"/>
    <w:rsid w:val="00092952"/>
    <w:rsid w:val="000A4429"/>
    <w:rsid w:val="000B26F2"/>
    <w:rsid w:val="000B2AA7"/>
    <w:rsid w:val="000B5EB0"/>
    <w:rsid w:val="000C1F79"/>
    <w:rsid w:val="000C4118"/>
    <w:rsid w:val="000E1210"/>
    <w:rsid w:val="000E1700"/>
    <w:rsid w:val="000E3129"/>
    <w:rsid w:val="000E3CBD"/>
    <w:rsid w:val="000F1405"/>
    <w:rsid w:val="000F4FF5"/>
    <w:rsid w:val="000F500C"/>
    <w:rsid w:val="00104270"/>
    <w:rsid w:val="001123B5"/>
    <w:rsid w:val="00117EA0"/>
    <w:rsid w:val="00137A61"/>
    <w:rsid w:val="00146DAA"/>
    <w:rsid w:val="001510DD"/>
    <w:rsid w:val="00156FEF"/>
    <w:rsid w:val="00160563"/>
    <w:rsid w:val="00166D46"/>
    <w:rsid w:val="001726F5"/>
    <w:rsid w:val="00176A6E"/>
    <w:rsid w:val="001775CD"/>
    <w:rsid w:val="00180197"/>
    <w:rsid w:val="00181EBC"/>
    <w:rsid w:val="001A4E67"/>
    <w:rsid w:val="001B0D50"/>
    <w:rsid w:val="001C1FE8"/>
    <w:rsid w:val="001C4559"/>
    <w:rsid w:val="001E7652"/>
    <w:rsid w:val="001F025C"/>
    <w:rsid w:val="001F4B95"/>
    <w:rsid w:val="001F7478"/>
    <w:rsid w:val="00201244"/>
    <w:rsid w:val="00246A96"/>
    <w:rsid w:val="002473B9"/>
    <w:rsid w:val="0025177A"/>
    <w:rsid w:val="00251B02"/>
    <w:rsid w:val="00254C48"/>
    <w:rsid w:val="00260745"/>
    <w:rsid w:val="00270F34"/>
    <w:rsid w:val="00273149"/>
    <w:rsid w:val="00277436"/>
    <w:rsid w:val="00297AEE"/>
    <w:rsid w:val="002A3FA1"/>
    <w:rsid w:val="002A7FF1"/>
    <w:rsid w:val="002C340E"/>
    <w:rsid w:val="002D0FC1"/>
    <w:rsid w:val="002F7004"/>
    <w:rsid w:val="00300CC2"/>
    <w:rsid w:val="00312062"/>
    <w:rsid w:val="0031464D"/>
    <w:rsid w:val="0033748C"/>
    <w:rsid w:val="00341F64"/>
    <w:rsid w:val="003434AE"/>
    <w:rsid w:val="00350EAC"/>
    <w:rsid w:val="00355D54"/>
    <w:rsid w:val="00357D82"/>
    <w:rsid w:val="00361A55"/>
    <w:rsid w:val="00377252"/>
    <w:rsid w:val="0038191E"/>
    <w:rsid w:val="003849FE"/>
    <w:rsid w:val="00385EB4"/>
    <w:rsid w:val="0039487C"/>
    <w:rsid w:val="003B4713"/>
    <w:rsid w:val="003B4A47"/>
    <w:rsid w:val="003B4F09"/>
    <w:rsid w:val="003C1A76"/>
    <w:rsid w:val="003D2A9A"/>
    <w:rsid w:val="003E1271"/>
    <w:rsid w:val="003E4C90"/>
    <w:rsid w:val="003F0CFA"/>
    <w:rsid w:val="00406456"/>
    <w:rsid w:val="00413B9E"/>
    <w:rsid w:val="004236BB"/>
    <w:rsid w:val="0043091A"/>
    <w:rsid w:val="00434D65"/>
    <w:rsid w:val="00436F99"/>
    <w:rsid w:val="00450442"/>
    <w:rsid w:val="00455A15"/>
    <w:rsid w:val="0046245E"/>
    <w:rsid w:val="00465EC3"/>
    <w:rsid w:val="0047474E"/>
    <w:rsid w:val="004A14D3"/>
    <w:rsid w:val="004B2E43"/>
    <w:rsid w:val="004B6868"/>
    <w:rsid w:val="004E3124"/>
    <w:rsid w:val="004F51F5"/>
    <w:rsid w:val="005023F7"/>
    <w:rsid w:val="00504F39"/>
    <w:rsid w:val="00512799"/>
    <w:rsid w:val="00513A06"/>
    <w:rsid w:val="00516D4A"/>
    <w:rsid w:val="00517F7D"/>
    <w:rsid w:val="00530531"/>
    <w:rsid w:val="00532ABC"/>
    <w:rsid w:val="005345FD"/>
    <w:rsid w:val="00557B19"/>
    <w:rsid w:val="00561F7B"/>
    <w:rsid w:val="00580A63"/>
    <w:rsid w:val="0058385B"/>
    <w:rsid w:val="00591261"/>
    <w:rsid w:val="00595D5E"/>
    <w:rsid w:val="005A0B8E"/>
    <w:rsid w:val="005A0F56"/>
    <w:rsid w:val="005A75B6"/>
    <w:rsid w:val="005D3B27"/>
    <w:rsid w:val="005D50EB"/>
    <w:rsid w:val="005E1461"/>
    <w:rsid w:val="006053A7"/>
    <w:rsid w:val="0061134B"/>
    <w:rsid w:val="00612A8F"/>
    <w:rsid w:val="00614DD1"/>
    <w:rsid w:val="00623CFC"/>
    <w:rsid w:val="00626885"/>
    <w:rsid w:val="006316E6"/>
    <w:rsid w:val="00636B19"/>
    <w:rsid w:val="0064060B"/>
    <w:rsid w:val="00647B1F"/>
    <w:rsid w:val="00651C5B"/>
    <w:rsid w:val="006550D9"/>
    <w:rsid w:val="00662892"/>
    <w:rsid w:val="006709B1"/>
    <w:rsid w:val="00677EFB"/>
    <w:rsid w:val="00683FB4"/>
    <w:rsid w:val="006912E5"/>
    <w:rsid w:val="00697966"/>
    <w:rsid w:val="006C3E26"/>
    <w:rsid w:val="006D0D53"/>
    <w:rsid w:val="006D5468"/>
    <w:rsid w:val="006D728A"/>
    <w:rsid w:val="006E18F6"/>
    <w:rsid w:val="006E1CD6"/>
    <w:rsid w:val="006E1F79"/>
    <w:rsid w:val="006E31B2"/>
    <w:rsid w:val="006E586A"/>
    <w:rsid w:val="006E592E"/>
    <w:rsid w:val="006F6157"/>
    <w:rsid w:val="007062FA"/>
    <w:rsid w:val="00710192"/>
    <w:rsid w:val="00726A61"/>
    <w:rsid w:val="00732696"/>
    <w:rsid w:val="007358EA"/>
    <w:rsid w:val="00744208"/>
    <w:rsid w:val="00754A2D"/>
    <w:rsid w:val="00760DE4"/>
    <w:rsid w:val="00761455"/>
    <w:rsid w:val="00763C34"/>
    <w:rsid w:val="00770DC2"/>
    <w:rsid w:val="00771ABE"/>
    <w:rsid w:val="0077750C"/>
    <w:rsid w:val="0079340E"/>
    <w:rsid w:val="007B0F26"/>
    <w:rsid w:val="007D253B"/>
    <w:rsid w:val="007D2C7F"/>
    <w:rsid w:val="007D2F1F"/>
    <w:rsid w:val="007D48D7"/>
    <w:rsid w:val="007D73FA"/>
    <w:rsid w:val="007E4B36"/>
    <w:rsid w:val="00801F96"/>
    <w:rsid w:val="00802015"/>
    <w:rsid w:val="00811D8D"/>
    <w:rsid w:val="00813EBF"/>
    <w:rsid w:val="00821F0C"/>
    <w:rsid w:val="00821F5A"/>
    <w:rsid w:val="00823122"/>
    <w:rsid w:val="008350F7"/>
    <w:rsid w:val="00841180"/>
    <w:rsid w:val="00871679"/>
    <w:rsid w:val="00872C6D"/>
    <w:rsid w:val="008751DB"/>
    <w:rsid w:val="0087555A"/>
    <w:rsid w:val="00883D43"/>
    <w:rsid w:val="00883F7C"/>
    <w:rsid w:val="0088578E"/>
    <w:rsid w:val="00885BE9"/>
    <w:rsid w:val="00891C73"/>
    <w:rsid w:val="008B1463"/>
    <w:rsid w:val="008B36A1"/>
    <w:rsid w:val="008B5F37"/>
    <w:rsid w:val="008C42FB"/>
    <w:rsid w:val="008D2304"/>
    <w:rsid w:val="008D449D"/>
    <w:rsid w:val="008D5B64"/>
    <w:rsid w:val="008D7C96"/>
    <w:rsid w:val="008E6F4A"/>
    <w:rsid w:val="008F5128"/>
    <w:rsid w:val="008F56F9"/>
    <w:rsid w:val="00901A11"/>
    <w:rsid w:val="00911F1B"/>
    <w:rsid w:val="00913E50"/>
    <w:rsid w:val="00915209"/>
    <w:rsid w:val="00925692"/>
    <w:rsid w:val="00926E40"/>
    <w:rsid w:val="0092708F"/>
    <w:rsid w:val="00930520"/>
    <w:rsid w:val="00930EF4"/>
    <w:rsid w:val="00941649"/>
    <w:rsid w:val="009446CE"/>
    <w:rsid w:val="00944CCF"/>
    <w:rsid w:val="00944EDA"/>
    <w:rsid w:val="009463D9"/>
    <w:rsid w:val="0096082C"/>
    <w:rsid w:val="00960B3F"/>
    <w:rsid w:val="009613F3"/>
    <w:rsid w:val="0097147E"/>
    <w:rsid w:val="00971C3A"/>
    <w:rsid w:val="00980B59"/>
    <w:rsid w:val="009827B6"/>
    <w:rsid w:val="00992760"/>
    <w:rsid w:val="009B4E58"/>
    <w:rsid w:val="009B70DE"/>
    <w:rsid w:val="009C042C"/>
    <w:rsid w:val="009E1BCD"/>
    <w:rsid w:val="009E1C71"/>
    <w:rsid w:val="009E3C46"/>
    <w:rsid w:val="009F1EA5"/>
    <w:rsid w:val="00A01E06"/>
    <w:rsid w:val="00A024D1"/>
    <w:rsid w:val="00A10A5B"/>
    <w:rsid w:val="00A20CF6"/>
    <w:rsid w:val="00A3392A"/>
    <w:rsid w:val="00A37FD3"/>
    <w:rsid w:val="00A42EB3"/>
    <w:rsid w:val="00A61E2F"/>
    <w:rsid w:val="00A705A4"/>
    <w:rsid w:val="00A843B4"/>
    <w:rsid w:val="00A84B08"/>
    <w:rsid w:val="00AA7EB2"/>
    <w:rsid w:val="00AC2F16"/>
    <w:rsid w:val="00AD019F"/>
    <w:rsid w:val="00AD6DF0"/>
    <w:rsid w:val="00AF0466"/>
    <w:rsid w:val="00B11EBD"/>
    <w:rsid w:val="00B146E4"/>
    <w:rsid w:val="00B14828"/>
    <w:rsid w:val="00B17138"/>
    <w:rsid w:val="00B32C06"/>
    <w:rsid w:val="00B32FAB"/>
    <w:rsid w:val="00B33C3C"/>
    <w:rsid w:val="00B34FF4"/>
    <w:rsid w:val="00B4126E"/>
    <w:rsid w:val="00B47409"/>
    <w:rsid w:val="00B510A9"/>
    <w:rsid w:val="00B55A2C"/>
    <w:rsid w:val="00B55A64"/>
    <w:rsid w:val="00B562D9"/>
    <w:rsid w:val="00B73BAF"/>
    <w:rsid w:val="00B77856"/>
    <w:rsid w:val="00B86718"/>
    <w:rsid w:val="00B96F1F"/>
    <w:rsid w:val="00B97F1E"/>
    <w:rsid w:val="00BB18C3"/>
    <w:rsid w:val="00BB2D09"/>
    <w:rsid w:val="00BD067C"/>
    <w:rsid w:val="00BD31AC"/>
    <w:rsid w:val="00BE513E"/>
    <w:rsid w:val="00BF49EB"/>
    <w:rsid w:val="00BF54A1"/>
    <w:rsid w:val="00C00997"/>
    <w:rsid w:val="00C10DFD"/>
    <w:rsid w:val="00C26A84"/>
    <w:rsid w:val="00C35DE9"/>
    <w:rsid w:val="00C40C7E"/>
    <w:rsid w:val="00C417BB"/>
    <w:rsid w:val="00C57B7D"/>
    <w:rsid w:val="00C723DC"/>
    <w:rsid w:val="00C738FD"/>
    <w:rsid w:val="00C74B55"/>
    <w:rsid w:val="00CA24C9"/>
    <w:rsid w:val="00CF1A8B"/>
    <w:rsid w:val="00D024EA"/>
    <w:rsid w:val="00D16887"/>
    <w:rsid w:val="00D20924"/>
    <w:rsid w:val="00D25615"/>
    <w:rsid w:val="00D3272D"/>
    <w:rsid w:val="00D40807"/>
    <w:rsid w:val="00D44F24"/>
    <w:rsid w:val="00D462DC"/>
    <w:rsid w:val="00D54270"/>
    <w:rsid w:val="00D559FE"/>
    <w:rsid w:val="00D63524"/>
    <w:rsid w:val="00D64261"/>
    <w:rsid w:val="00D654FE"/>
    <w:rsid w:val="00D65757"/>
    <w:rsid w:val="00D66282"/>
    <w:rsid w:val="00D87B69"/>
    <w:rsid w:val="00D91C1D"/>
    <w:rsid w:val="00D940DE"/>
    <w:rsid w:val="00DB26AA"/>
    <w:rsid w:val="00DC7F06"/>
    <w:rsid w:val="00DE24F0"/>
    <w:rsid w:val="00DE5298"/>
    <w:rsid w:val="00E01C6F"/>
    <w:rsid w:val="00E0660A"/>
    <w:rsid w:val="00E231D2"/>
    <w:rsid w:val="00E358C9"/>
    <w:rsid w:val="00E5060E"/>
    <w:rsid w:val="00E52A97"/>
    <w:rsid w:val="00E53349"/>
    <w:rsid w:val="00E5463F"/>
    <w:rsid w:val="00E61AC8"/>
    <w:rsid w:val="00E661CB"/>
    <w:rsid w:val="00E70944"/>
    <w:rsid w:val="00E8510E"/>
    <w:rsid w:val="00E867B4"/>
    <w:rsid w:val="00E9333A"/>
    <w:rsid w:val="00E9364D"/>
    <w:rsid w:val="00E94D53"/>
    <w:rsid w:val="00E95EA5"/>
    <w:rsid w:val="00E97F15"/>
    <w:rsid w:val="00EA46C8"/>
    <w:rsid w:val="00EA7D47"/>
    <w:rsid w:val="00ED386A"/>
    <w:rsid w:val="00ED4530"/>
    <w:rsid w:val="00EE248E"/>
    <w:rsid w:val="00F0635C"/>
    <w:rsid w:val="00F273F5"/>
    <w:rsid w:val="00F57E61"/>
    <w:rsid w:val="00F7111F"/>
    <w:rsid w:val="00F82600"/>
    <w:rsid w:val="00F828D5"/>
    <w:rsid w:val="00F84C4A"/>
    <w:rsid w:val="00F86D85"/>
    <w:rsid w:val="00F92419"/>
    <w:rsid w:val="00F9726D"/>
    <w:rsid w:val="00FA0BF9"/>
    <w:rsid w:val="00FA2907"/>
    <w:rsid w:val="00FA37BD"/>
    <w:rsid w:val="00FA58C1"/>
    <w:rsid w:val="00FB4808"/>
    <w:rsid w:val="00FC726D"/>
    <w:rsid w:val="00FD4892"/>
    <w:rsid w:val="00FE1DAC"/>
    <w:rsid w:val="00FE217D"/>
    <w:rsid w:val="00FE54D0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FE5F7"/>
  <w15:docId w15:val="{2BBB95BF-21FE-4A85-8931-0E184CF0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23DC"/>
    <w:pPr>
      <w:spacing w:after="120" w:line="240" w:lineRule="auto"/>
      <w:jc w:val="both"/>
      <w:outlineLvl w:val="0"/>
    </w:pPr>
    <w:rPr>
      <w:rFonts w:eastAsia="Times New Roman" w:cs="Arial"/>
      <w:b/>
      <w:smallCaps/>
      <w:color w:val="002060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4118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5F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5F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5F3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48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D44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44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44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44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449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D5B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A8B"/>
  </w:style>
  <w:style w:type="paragraph" w:styleId="Pidipagina">
    <w:name w:val="footer"/>
    <w:basedOn w:val="Normale"/>
    <w:link w:val="PidipaginaCarattere"/>
    <w:uiPriority w:val="99"/>
    <w:unhideWhenUsed/>
    <w:rsid w:val="00CF1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A8B"/>
  </w:style>
  <w:style w:type="table" w:styleId="Grigliatabella">
    <w:name w:val="Table Grid"/>
    <w:basedOn w:val="Tabellanormale"/>
    <w:uiPriority w:val="59"/>
    <w:rsid w:val="0079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146E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23DC"/>
    <w:rPr>
      <w:rFonts w:eastAsia="Times New Roman" w:cs="Arial"/>
      <w:b/>
      <w:smallCaps/>
      <w:color w:val="002060"/>
      <w:sz w:val="32"/>
      <w:lang w:eastAsia="it-IT"/>
    </w:rPr>
  </w:style>
  <w:style w:type="paragraph" w:customStyle="1" w:styleId="Stiletestocorrente">
    <w:name w:val="Stile testo corrente"/>
    <w:basedOn w:val="Normale"/>
    <w:qFormat/>
    <w:rsid w:val="00C723DC"/>
    <w:pPr>
      <w:spacing w:after="0" w:line="240" w:lineRule="exact"/>
      <w:ind w:left="1588"/>
      <w:contextualSpacing/>
      <w:jc w:val="both"/>
    </w:pPr>
    <w:rPr>
      <w:rFonts w:ascii="Arial" w:eastAsia="Cambria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3B47-7C30-4F46-91E3-E29F2F1B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AgostiniE@ance.it</dc:creator>
  <cp:lastModifiedBy>ance enna</cp:lastModifiedBy>
  <cp:revision>1</cp:revision>
  <cp:lastPrinted>2017-11-27T11:54:00Z</cp:lastPrinted>
  <dcterms:created xsi:type="dcterms:W3CDTF">2020-06-19T13:17:00Z</dcterms:created>
  <dcterms:modified xsi:type="dcterms:W3CDTF">2020-06-22T08:31:00Z</dcterms:modified>
</cp:coreProperties>
</file>