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1A4" w:rsidRPr="00FF38FF" w:rsidRDefault="00B521A4" w:rsidP="00B521A4">
      <w:pPr>
        <w:spacing w:before="60"/>
        <w:ind w:left="284"/>
        <w:jc w:val="center"/>
        <w:rPr>
          <w:rFonts w:ascii="Arial" w:hAnsi="Arial" w:cs="Arial"/>
          <w:b/>
          <w:sz w:val="20"/>
          <w:szCs w:val="20"/>
        </w:rPr>
      </w:pPr>
      <w:r w:rsidRPr="00FF38FF">
        <w:rPr>
          <w:rFonts w:ascii="Arial" w:hAnsi="Arial" w:cs="Arial"/>
          <w:b/>
          <w:sz w:val="20"/>
          <w:szCs w:val="20"/>
        </w:rPr>
        <w:t xml:space="preserve">Stralcio </w:t>
      </w:r>
      <w:r>
        <w:rPr>
          <w:rFonts w:ascii="Arial" w:hAnsi="Arial" w:cs="Arial"/>
          <w:b/>
          <w:sz w:val="20"/>
          <w:szCs w:val="20"/>
        </w:rPr>
        <w:t xml:space="preserve">della </w:t>
      </w:r>
      <w:proofErr w:type="spellStart"/>
      <w:r w:rsidRPr="00FF38FF">
        <w:rPr>
          <w:rFonts w:ascii="Arial" w:hAnsi="Arial" w:cs="Arial"/>
          <w:b/>
          <w:sz w:val="20"/>
          <w:szCs w:val="20"/>
        </w:rPr>
        <w:t>L.R.</w:t>
      </w:r>
      <w:proofErr w:type="spellEnd"/>
      <w:r w:rsidRPr="00FF38FF">
        <w:rPr>
          <w:rFonts w:ascii="Arial" w:hAnsi="Arial" w:cs="Arial"/>
          <w:b/>
          <w:sz w:val="20"/>
          <w:szCs w:val="20"/>
        </w:rPr>
        <w:t xml:space="preserve"> 12/2011, come modificata dalla </w:t>
      </w:r>
      <w:proofErr w:type="spellStart"/>
      <w:r w:rsidRPr="00FF38FF">
        <w:rPr>
          <w:rFonts w:ascii="Arial" w:hAnsi="Arial" w:cs="Arial"/>
          <w:b/>
          <w:sz w:val="20"/>
          <w:szCs w:val="20"/>
        </w:rPr>
        <w:t>L.R.</w:t>
      </w:r>
      <w:proofErr w:type="spellEnd"/>
      <w:r w:rsidRPr="00FF38FF">
        <w:rPr>
          <w:rFonts w:ascii="Arial" w:hAnsi="Arial" w:cs="Arial"/>
          <w:b/>
          <w:sz w:val="20"/>
          <w:szCs w:val="20"/>
        </w:rPr>
        <w:t xml:space="preserve"> approvata il 7.7.2015</w:t>
      </w:r>
    </w:p>
    <w:p w:rsidR="00B521A4" w:rsidRPr="001E5BA3" w:rsidRDefault="00B521A4" w:rsidP="00B521A4">
      <w:pPr>
        <w:spacing w:before="60"/>
        <w:ind w:left="284"/>
        <w:jc w:val="center"/>
        <w:rPr>
          <w:rFonts w:ascii="Arial" w:hAnsi="Arial" w:cs="Arial"/>
          <w:b/>
          <w:sz w:val="20"/>
          <w:szCs w:val="20"/>
        </w:rPr>
      </w:pPr>
      <w:r w:rsidRPr="001E5BA3">
        <w:rPr>
          <w:rFonts w:ascii="Arial" w:hAnsi="Arial" w:cs="Arial"/>
          <w:b/>
          <w:sz w:val="20"/>
          <w:szCs w:val="20"/>
        </w:rPr>
        <w:t>Art. 19  Criteri di aggiudicazione.</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Per le finalità di cui all'articolo 81 del decreto legislativo 12 aprile 2006, n. 163 e successive modifiche ed integrazioni, le stazioni appaltanti ricorrono, rispettivamente:</w:t>
      </w:r>
    </w:p>
    <w:p w:rsidR="00B521A4" w:rsidRPr="001E5BA3" w:rsidRDefault="00B521A4" w:rsidP="00B521A4">
      <w:pPr>
        <w:numPr>
          <w:ilvl w:val="0"/>
          <w:numId w:val="2"/>
        </w:numPr>
        <w:spacing w:before="60"/>
        <w:ind w:left="284"/>
        <w:rPr>
          <w:rFonts w:ascii="Arial" w:hAnsi="Arial" w:cs="Arial"/>
          <w:sz w:val="20"/>
          <w:szCs w:val="20"/>
        </w:rPr>
      </w:pPr>
      <w:r w:rsidRPr="001E5BA3">
        <w:rPr>
          <w:rFonts w:ascii="Arial" w:hAnsi="Arial" w:cs="Arial"/>
          <w:sz w:val="20"/>
          <w:szCs w:val="20"/>
        </w:rPr>
        <w:t xml:space="preserve">al criterio del prezzo più basso quando l'oggetto del contratto non sia caratterizzato da un particolare valore tecnologico o si svolga secondo procedure largamente standardizzate; </w:t>
      </w:r>
    </w:p>
    <w:p w:rsidR="00B521A4" w:rsidRPr="001E5BA3" w:rsidRDefault="00B521A4" w:rsidP="00B521A4">
      <w:pPr>
        <w:numPr>
          <w:ilvl w:val="0"/>
          <w:numId w:val="2"/>
        </w:numPr>
        <w:spacing w:before="60"/>
        <w:ind w:left="284"/>
        <w:rPr>
          <w:rFonts w:ascii="Arial" w:hAnsi="Arial" w:cs="Arial"/>
          <w:sz w:val="20"/>
          <w:szCs w:val="20"/>
        </w:rPr>
      </w:pPr>
      <w:r w:rsidRPr="001E5BA3">
        <w:rPr>
          <w:rFonts w:ascii="Arial" w:hAnsi="Arial" w:cs="Arial"/>
          <w:sz w:val="20"/>
          <w:szCs w:val="20"/>
        </w:rPr>
        <w:t>al criterio dell'offerta economicamente più vantaggiosa quando le caratteristiche oggettive dell'appalto inducano a ritenere prevalenti, ai fini dell'aggiudicazione, uno o più aspetti qualitativi, quali, ad esempio, l'organizzazione del lavoro, le caratteristiche tecniche dei materiali, l'impatto ambientale, la metodologia utilizzata.</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Le stazioni appaltanti utilizzano il criterio di cui alla lettera b) del comma 1 per gli appalti di lavori di valore superiore alla soglia comunitaria. In tale caso il riparto dei parametri da utilizzarsi è così articolato: 30 per cento offerta economica; 60 per cento offerta tecnica; 10 per cento tempi di realizzazione dell'appalto. Nella valutazione dell'offerta tecnica almeno un quarto e non più di un terzo del punteggio complessivo è attribuito in relazione al costo del lavoro ed alla previsione dell'utile di impresa, determinato, per le finalità del presente articolo in misura pari al 10 per cento dell'offerta.</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Le stazioni appaltanti hanno comunque facoltà di ricorrere al criterio di aggiudicazione del prezzo più basso qualora tale scelta sia più conveniente per le medesime amministrazioni aggiudicatrici sotto il profilo della qualità dei lavori realizzati e del rapporto con il prezzo a base d'asta.</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Per gli appalti di servizi di cui al decreto legislativo n. 163/2006, Allegato II A, categoria 12, il criterio delle offerte è esclusivamente quello dell'offerta economicamente più vantaggiosa, nei casi previsti dal decreto del Presidente della Repubblica 5 ottobre 2010, n. 207.</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In applicazione dei principi scaturenti dalla sentenza Corte di Giustizia U.E. C. 147/06 e C. 148/06, hanno carattere transfrontaliero gli appalti di lavori, servizi o forniture di valore superiore alla soglia comunitaria. Hanno altresì carattere transfrontaliero gli appalti di lavori, servizi o forniture, finanziati, cofinanziati o realizzati con fondi comunque erogati dalla Regione o dalle amministrazioni aggiudicatrici aventi sede in Sicilia, anche se di valore inferiore alla soglia comunitaria, ove agli stessi siano ammesse, in percentuale pari o superiore al 5 per cento, imprese aventi sede in nazioni dell'Unione europea, diverse dall'Italia.</w:t>
      </w:r>
    </w:p>
    <w:p w:rsidR="00B521A4" w:rsidRPr="00FF38FF" w:rsidRDefault="00B521A4" w:rsidP="00B521A4">
      <w:pPr>
        <w:numPr>
          <w:ilvl w:val="0"/>
          <w:numId w:val="1"/>
        </w:numPr>
        <w:spacing w:before="60"/>
        <w:ind w:left="284"/>
        <w:rPr>
          <w:rFonts w:ascii="Arial" w:hAnsi="Arial" w:cs="Arial"/>
          <w:i/>
          <w:sz w:val="20"/>
          <w:szCs w:val="20"/>
        </w:rPr>
      </w:pPr>
      <w:r w:rsidRPr="00FF38FF">
        <w:rPr>
          <w:rFonts w:ascii="Arial" w:hAnsi="Arial" w:cs="Arial"/>
          <w:b/>
          <w:i/>
          <w:spacing w:val="-4"/>
          <w:sz w:val="20"/>
          <w:szCs w:val="20"/>
        </w:rPr>
        <w:t>(Fino al termine di cui all'art. 253, comma 20 bis del D.L.vo n. 163/2006</w:t>
      </w:r>
      <w:r w:rsidRPr="00FF38FF">
        <w:rPr>
          <w:rFonts w:ascii="Arial" w:hAnsi="Arial" w:cs="Arial"/>
          <w:b/>
          <w:i/>
          <w:sz w:val="20"/>
          <w:szCs w:val="20"/>
        </w:rPr>
        <w:t>)</w:t>
      </w:r>
      <w:r w:rsidRPr="00FF38FF">
        <w:rPr>
          <w:rFonts w:ascii="Arial" w:hAnsi="Arial" w:cs="Arial"/>
          <w:i/>
          <w:sz w:val="20"/>
          <w:szCs w:val="20"/>
        </w:rPr>
        <w:t xml:space="preserve"> </w:t>
      </w:r>
    </w:p>
    <w:p w:rsidR="00B521A4" w:rsidRPr="00FF38FF" w:rsidRDefault="00B521A4" w:rsidP="00B521A4">
      <w:pPr>
        <w:spacing w:before="60"/>
        <w:ind w:left="284"/>
        <w:rPr>
          <w:rFonts w:ascii="Arial" w:hAnsi="Arial" w:cs="Arial"/>
          <w:b/>
          <w:sz w:val="20"/>
          <w:szCs w:val="20"/>
        </w:rPr>
      </w:pPr>
      <w:r w:rsidRPr="00FF38FF">
        <w:rPr>
          <w:rFonts w:ascii="Arial" w:hAnsi="Arial" w:cs="Arial"/>
          <w:b/>
          <w:sz w:val="20"/>
          <w:szCs w:val="20"/>
        </w:rPr>
        <w:t xml:space="preserve">Per gli appalti di lavori, servizi o forniture che non abbiano carattere transfrontaliero, nel caso in cui il criterio di aggiudicazione sia quello del prezzo più basso, la stazione appaltante può prevedere nel bando che si applichi il criterio dell'esclusione automatica dalla gara delle offerte che presentano una percentuale di ribasso pari o superiore alla soglia di anomalia individuate al comma 6-bis. </w:t>
      </w:r>
    </w:p>
    <w:p w:rsidR="00B521A4" w:rsidRPr="00FF38FF" w:rsidRDefault="00B521A4" w:rsidP="00B521A4">
      <w:pPr>
        <w:spacing w:before="60"/>
        <w:ind w:left="284" w:hanging="425"/>
        <w:rPr>
          <w:rFonts w:ascii="Arial" w:hAnsi="Arial" w:cs="Arial"/>
          <w:b/>
          <w:sz w:val="20"/>
          <w:szCs w:val="20"/>
        </w:rPr>
      </w:pPr>
      <w:r w:rsidRPr="00FF38FF">
        <w:rPr>
          <w:rFonts w:ascii="Arial" w:hAnsi="Arial" w:cs="Arial"/>
          <w:b/>
          <w:spacing w:val="-10"/>
          <w:sz w:val="20"/>
          <w:szCs w:val="20"/>
        </w:rPr>
        <w:t>6-bis.</w:t>
      </w:r>
      <w:r w:rsidRPr="00FF38FF">
        <w:rPr>
          <w:rFonts w:ascii="Arial" w:hAnsi="Arial" w:cs="Arial"/>
          <w:b/>
          <w:sz w:val="20"/>
          <w:szCs w:val="20"/>
        </w:rPr>
        <w:t xml:space="preserve"> La soglia di anomalia è individuata dalla media aritmetica dei ribassi percentuali di tutte le offerte ammesse, con esclusione del dieci per cento, arrotondato all'unità superiore, rispettivamente delle offerte di maggior ribasso e quelle di minor ribasso, incrementata o decrementata percentualmente di un valore pari alla prima cifra, dopo la virgola, della somma dei ribassi offerti dai concorrenti ammessi. L'incremento o il decremento è stabilito in base alla prima cifra, dopo la virgola, della somma dei ribassi offerti dai concorrenti ammessi, rispettivamente se pari o dispari. Nel caso in cui il valore così determinato risulti inferiore all'offerta di minor ribasso ammessa, la gara è aggiudicata a quest'ultima. Per la determinazione della media, in caso di presentazione di offerte aventi identico ribasso, queste ultime sono computate una sola volta. La facoltà di esclusione automatica non è comunque esercitabile quando il numero delle offerte ammesse è inferiore a 10; in tal caso si applica l'articolo 86, comma 3, del Decreto legislativo n. 163/2006. </w:t>
      </w:r>
    </w:p>
    <w:p w:rsidR="00B521A4" w:rsidRPr="00FF38FF" w:rsidRDefault="00B521A4" w:rsidP="00B521A4">
      <w:pPr>
        <w:spacing w:before="60"/>
        <w:ind w:left="284" w:hanging="425"/>
        <w:rPr>
          <w:rFonts w:ascii="Arial" w:hAnsi="Arial" w:cs="Arial"/>
          <w:b/>
          <w:sz w:val="20"/>
          <w:szCs w:val="20"/>
        </w:rPr>
      </w:pPr>
      <w:r w:rsidRPr="00FF38FF">
        <w:rPr>
          <w:rFonts w:ascii="Arial" w:hAnsi="Arial" w:cs="Arial"/>
          <w:b/>
          <w:spacing w:val="-8"/>
          <w:sz w:val="20"/>
          <w:szCs w:val="20"/>
        </w:rPr>
        <w:t>6-ter.</w:t>
      </w:r>
      <w:r w:rsidRPr="00FF38FF">
        <w:rPr>
          <w:rFonts w:ascii="Arial" w:hAnsi="Arial" w:cs="Arial"/>
          <w:b/>
          <w:sz w:val="20"/>
          <w:szCs w:val="20"/>
        </w:rPr>
        <w:t xml:space="preserve"> Le imprese che effettuano un ribasso superiore al 25 per cento producono, nell'offerta, le relative analisi giustificative che sono valutate dalla Commissione di gara nel caso risultino aggiudicatarie in sede di verifica di congruità dell'offerta. </w:t>
      </w:r>
    </w:p>
    <w:p w:rsidR="00B521A4" w:rsidRPr="00FF38FF" w:rsidRDefault="00B521A4" w:rsidP="00B521A4">
      <w:pPr>
        <w:spacing w:before="60"/>
        <w:ind w:left="284" w:hanging="425"/>
        <w:rPr>
          <w:rFonts w:ascii="Arial" w:hAnsi="Arial" w:cs="Arial"/>
          <w:b/>
          <w:sz w:val="20"/>
          <w:szCs w:val="20"/>
        </w:rPr>
      </w:pPr>
      <w:r w:rsidRPr="00FF38FF">
        <w:rPr>
          <w:rFonts w:ascii="Arial" w:hAnsi="Arial" w:cs="Arial"/>
          <w:b/>
          <w:spacing w:val="-8"/>
          <w:sz w:val="20"/>
          <w:szCs w:val="20"/>
        </w:rPr>
        <w:t>6-quater</w:t>
      </w:r>
      <w:r w:rsidRPr="00FF38FF">
        <w:rPr>
          <w:rFonts w:ascii="Arial" w:hAnsi="Arial" w:cs="Arial"/>
          <w:b/>
          <w:sz w:val="20"/>
          <w:szCs w:val="20"/>
        </w:rPr>
        <w:t>. Con decreto dell'Assessore regionale per le infrastrutture e la mobilità sono individuate le modalità di verifica per la congruità dell'offerta e le eventuali ulteriori disposizioni per la valutazione della corrispondenza fra le previsioni formulate in sede di verifica di congruità dell'offerta e l'esecuzione delle opere.</w:t>
      </w:r>
    </w:p>
    <w:p w:rsidR="00B521A4" w:rsidRPr="001E5BA3" w:rsidRDefault="00B521A4" w:rsidP="00B521A4">
      <w:pPr>
        <w:numPr>
          <w:ilvl w:val="0"/>
          <w:numId w:val="1"/>
        </w:numPr>
        <w:spacing w:before="60"/>
        <w:ind w:left="284"/>
        <w:rPr>
          <w:rFonts w:ascii="Arial" w:hAnsi="Arial" w:cs="Arial"/>
          <w:sz w:val="20"/>
          <w:szCs w:val="20"/>
        </w:rPr>
      </w:pPr>
      <w:r w:rsidRPr="001E5BA3">
        <w:rPr>
          <w:rFonts w:ascii="Arial" w:hAnsi="Arial" w:cs="Arial"/>
          <w:sz w:val="20"/>
          <w:szCs w:val="20"/>
        </w:rPr>
        <w:t xml:space="preserve">Nelle procedure di affidamento dei lavori pubblici, l'offerta economica non può in nessun caso prevedere la rinuncia a qualsiasi previsione di utile. Al fine di garantire un adeguato livello qualitativo delle lavorazioni, in sede di verifica delle offerte anomale, una percentuale di utile di impresa inferiore al 4 per cento può essere ammessa a giustificazione, comunque rimessa alle valutazioni della stazione appaltante, soltanto se il concorrente attesti, con dichiarazione resa nelle forme di cui all'articolo 47 del </w:t>
      </w:r>
      <w:r w:rsidRPr="001E5BA3">
        <w:rPr>
          <w:rFonts w:ascii="Arial" w:hAnsi="Arial" w:cs="Arial"/>
          <w:sz w:val="20"/>
          <w:szCs w:val="20"/>
        </w:rPr>
        <w:lastRenderedPageBreak/>
        <w:t>decreto del Presidente della Repubblica 28 dicembre 2000, n. 445, di non essere aggiudicatario per l'esecuzione di altri lavori, pubblici o privati, avendo quindi necessità di non rimanere inattivo.</w:t>
      </w:r>
    </w:p>
    <w:p w:rsidR="00B521A4" w:rsidRPr="001E5BA3" w:rsidRDefault="00B521A4" w:rsidP="00B521A4">
      <w:pPr>
        <w:spacing w:before="60"/>
        <w:ind w:left="284"/>
        <w:rPr>
          <w:rFonts w:ascii="Vladimir Script" w:hAnsi="Vladimir Script"/>
          <w:sz w:val="20"/>
          <w:szCs w:val="20"/>
        </w:rPr>
      </w:pPr>
    </w:p>
    <w:p w:rsidR="00512347" w:rsidRDefault="00512347" w:rsidP="00B521A4">
      <w:pPr>
        <w:ind w:left="284"/>
      </w:pPr>
    </w:p>
    <w:sectPr w:rsidR="00512347" w:rsidSect="0051234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F6999"/>
    <w:multiLevelType w:val="hybridMultilevel"/>
    <w:tmpl w:val="82A8C730"/>
    <w:lvl w:ilvl="0" w:tplc="0D3C3CAA">
      <w:start w:val="1"/>
      <w:numFmt w:val="decimal"/>
      <w:lvlText w:val="%1."/>
      <w:lvlJc w:val="left"/>
      <w:pPr>
        <w:ind w:left="1948" w:hanging="360"/>
      </w:pPr>
      <w:rPr>
        <w:rFonts w:hint="default"/>
        <w:b/>
      </w:rPr>
    </w:lvl>
    <w:lvl w:ilvl="1" w:tplc="04100019" w:tentative="1">
      <w:start w:val="1"/>
      <w:numFmt w:val="lowerLetter"/>
      <w:lvlText w:val="%2."/>
      <w:lvlJc w:val="left"/>
      <w:pPr>
        <w:ind w:left="2668" w:hanging="360"/>
      </w:pPr>
    </w:lvl>
    <w:lvl w:ilvl="2" w:tplc="0410001B" w:tentative="1">
      <w:start w:val="1"/>
      <w:numFmt w:val="lowerRoman"/>
      <w:lvlText w:val="%3."/>
      <w:lvlJc w:val="right"/>
      <w:pPr>
        <w:ind w:left="3388" w:hanging="180"/>
      </w:pPr>
    </w:lvl>
    <w:lvl w:ilvl="3" w:tplc="0410000F" w:tentative="1">
      <w:start w:val="1"/>
      <w:numFmt w:val="decimal"/>
      <w:lvlText w:val="%4."/>
      <w:lvlJc w:val="left"/>
      <w:pPr>
        <w:ind w:left="4108" w:hanging="360"/>
      </w:pPr>
    </w:lvl>
    <w:lvl w:ilvl="4" w:tplc="04100019" w:tentative="1">
      <w:start w:val="1"/>
      <w:numFmt w:val="lowerLetter"/>
      <w:lvlText w:val="%5."/>
      <w:lvlJc w:val="left"/>
      <w:pPr>
        <w:ind w:left="4828" w:hanging="360"/>
      </w:pPr>
    </w:lvl>
    <w:lvl w:ilvl="5" w:tplc="0410001B" w:tentative="1">
      <w:start w:val="1"/>
      <w:numFmt w:val="lowerRoman"/>
      <w:lvlText w:val="%6."/>
      <w:lvlJc w:val="right"/>
      <w:pPr>
        <w:ind w:left="5548" w:hanging="180"/>
      </w:pPr>
    </w:lvl>
    <w:lvl w:ilvl="6" w:tplc="0410000F" w:tentative="1">
      <w:start w:val="1"/>
      <w:numFmt w:val="decimal"/>
      <w:lvlText w:val="%7."/>
      <w:lvlJc w:val="left"/>
      <w:pPr>
        <w:ind w:left="6268" w:hanging="360"/>
      </w:pPr>
    </w:lvl>
    <w:lvl w:ilvl="7" w:tplc="04100019" w:tentative="1">
      <w:start w:val="1"/>
      <w:numFmt w:val="lowerLetter"/>
      <w:lvlText w:val="%8."/>
      <w:lvlJc w:val="left"/>
      <w:pPr>
        <w:ind w:left="6988" w:hanging="360"/>
      </w:pPr>
    </w:lvl>
    <w:lvl w:ilvl="8" w:tplc="0410001B" w:tentative="1">
      <w:start w:val="1"/>
      <w:numFmt w:val="lowerRoman"/>
      <w:lvlText w:val="%9."/>
      <w:lvlJc w:val="right"/>
      <w:pPr>
        <w:ind w:left="7708" w:hanging="180"/>
      </w:pPr>
    </w:lvl>
  </w:abstractNum>
  <w:abstractNum w:abstractNumId="1">
    <w:nsid w:val="68694798"/>
    <w:multiLevelType w:val="hybridMultilevel"/>
    <w:tmpl w:val="3EF6E5E0"/>
    <w:lvl w:ilvl="0" w:tplc="57C48B20">
      <w:start w:val="1"/>
      <w:numFmt w:val="lowerLetter"/>
      <w:lvlText w:val="%1)"/>
      <w:lvlJc w:val="left"/>
      <w:pPr>
        <w:ind w:left="2308" w:hanging="360"/>
      </w:pPr>
      <w:rPr>
        <w:rFonts w:hint="default"/>
      </w:rPr>
    </w:lvl>
    <w:lvl w:ilvl="1" w:tplc="04100019" w:tentative="1">
      <w:start w:val="1"/>
      <w:numFmt w:val="lowerLetter"/>
      <w:lvlText w:val="%2."/>
      <w:lvlJc w:val="left"/>
      <w:pPr>
        <w:ind w:left="3028" w:hanging="360"/>
      </w:pPr>
    </w:lvl>
    <w:lvl w:ilvl="2" w:tplc="0410001B" w:tentative="1">
      <w:start w:val="1"/>
      <w:numFmt w:val="lowerRoman"/>
      <w:lvlText w:val="%3."/>
      <w:lvlJc w:val="right"/>
      <w:pPr>
        <w:ind w:left="3748" w:hanging="180"/>
      </w:pPr>
    </w:lvl>
    <w:lvl w:ilvl="3" w:tplc="0410000F" w:tentative="1">
      <w:start w:val="1"/>
      <w:numFmt w:val="decimal"/>
      <w:lvlText w:val="%4."/>
      <w:lvlJc w:val="left"/>
      <w:pPr>
        <w:ind w:left="4468" w:hanging="360"/>
      </w:pPr>
    </w:lvl>
    <w:lvl w:ilvl="4" w:tplc="04100019" w:tentative="1">
      <w:start w:val="1"/>
      <w:numFmt w:val="lowerLetter"/>
      <w:lvlText w:val="%5."/>
      <w:lvlJc w:val="left"/>
      <w:pPr>
        <w:ind w:left="5188" w:hanging="360"/>
      </w:pPr>
    </w:lvl>
    <w:lvl w:ilvl="5" w:tplc="0410001B" w:tentative="1">
      <w:start w:val="1"/>
      <w:numFmt w:val="lowerRoman"/>
      <w:lvlText w:val="%6."/>
      <w:lvlJc w:val="right"/>
      <w:pPr>
        <w:ind w:left="5908" w:hanging="180"/>
      </w:pPr>
    </w:lvl>
    <w:lvl w:ilvl="6" w:tplc="0410000F" w:tentative="1">
      <w:start w:val="1"/>
      <w:numFmt w:val="decimal"/>
      <w:lvlText w:val="%7."/>
      <w:lvlJc w:val="left"/>
      <w:pPr>
        <w:ind w:left="6628" w:hanging="360"/>
      </w:pPr>
    </w:lvl>
    <w:lvl w:ilvl="7" w:tplc="04100019" w:tentative="1">
      <w:start w:val="1"/>
      <w:numFmt w:val="lowerLetter"/>
      <w:lvlText w:val="%8."/>
      <w:lvlJc w:val="left"/>
      <w:pPr>
        <w:ind w:left="7348" w:hanging="360"/>
      </w:pPr>
    </w:lvl>
    <w:lvl w:ilvl="8" w:tplc="0410001B" w:tentative="1">
      <w:start w:val="1"/>
      <w:numFmt w:val="lowerRoman"/>
      <w:lvlText w:val="%9."/>
      <w:lvlJc w:val="right"/>
      <w:pPr>
        <w:ind w:left="806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B521A4"/>
    <w:rsid w:val="00512347"/>
    <w:rsid w:val="00B521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21A4"/>
    <w:pPr>
      <w:spacing w:after="0" w:line="240" w:lineRule="auto"/>
      <w:ind w:left="1588"/>
      <w:jc w:val="both"/>
    </w:pPr>
    <w:rPr>
      <w:rFonts w:ascii="Cambria" w:eastAsia="Cambria" w:hAnsi="Cambria"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4714</Characters>
  <Application>Microsoft Office Word</Application>
  <DocSecurity>0</DocSecurity>
  <Lines>39</Lines>
  <Paragraphs>11</Paragraphs>
  <ScaleCrop>false</ScaleCrop>
  <Company/>
  <LinksUpToDate>false</LinksUpToDate>
  <CharactersWithSpaces>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COmpoter-2</dc:creator>
  <cp:lastModifiedBy>COmpoter-2</cp:lastModifiedBy>
  <cp:revision>1</cp:revision>
  <dcterms:created xsi:type="dcterms:W3CDTF">2015-07-09T10:15:00Z</dcterms:created>
  <dcterms:modified xsi:type="dcterms:W3CDTF">2015-07-09T10:16:00Z</dcterms:modified>
</cp:coreProperties>
</file>